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256D" w14:textId="77777777" w:rsidR="00606DDD" w:rsidRPr="00606DDD" w:rsidRDefault="00606DDD" w:rsidP="00606DDD">
      <w:pPr>
        <w:spacing w:line="276" w:lineRule="auto"/>
        <w:jc w:val="right"/>
        <w:rPr>
          <w:rFonts w:asciiTheme="majorHAnsi" w:hAnsiTheme="majorHAnsi" w:cstheme="majorHAnsi"/>
          <w:b/>
          <w:bCs/>
          <w:sz w:val="22"/>
          <w:szCs w:val="22"/>
          <w:lang w:val="es-PR"/>
        </w:rPr>
      </w:pPr>
    </w:p>
    <w:p w14:paraId="6FE74C8C" w14:textId="4C192F6A" w:rsidR="004053C2" w:rsidRPr="00606DDD" w:rsidRDefault="004053C2" w:rsidP="00606DDD">
      <w:pPr>
        <w:shd w:val="clear" w:color="auto" w:fill="FFFFFF"/>
        <w:spacing w:after="16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val="es-PR"/>
        </w:rPr>
      </w:pPr>
      <w:r w:rsidRPr="00606DDD">
        <w:rPr>
          <w:rFonts w:asciiTheme="majorHAnsi" w:hAnsiTheme="majorHAnsi" w:cstheme="majorHAnsi"/>
          <w:color w:val="000000"/>
          <w:sz w:val="22"/>
          <w:szCs w:val="22"/>
          <w:lang w:val="es-PR"/>
        </w:rPr>
        <w:t>1</w:t>
      </w:r>
      <w:r w:rsidR="00DA2DB0" w:rsidRPr="00606DDD">
        <w:rPr>
          <w:rFonts w:asciiTheme="majorHAnsi" w:hAnsiTheme="majorHAnsi" w:cstheme="majorHAnsi"/>
          <w:color w:val="000000"/>
          <w:sz w:val="22"/>
          <w:szCs w:val="22"/>
          <w:lang w:val="es-PR"/>
        </w:rPr>
        <w:t>9</w:t>
      </w:r>
      <w:r w:rsidRPr="00606DDD">
        <w:rPr>
          <w:rFonts w:asciiTheme="majorHAnsi" w:hAnsiTheme="majorHAnsi" w:cstheme="majorHAnsi"/>
          <w:color w:val="000000"/>
          <w:sz w:val="22"/>
          <w:szCs w:val="22"/>
          <w:lang w:val="es-PR"/>
        </w:rPr>
        <w:t xml:space="preserve"> de octubre de 2022</w:t>
      </w:r>
    </w:p>
    <w:p w14:paraId="17707AF7" w14:textId="77777777" w:rsidR="004053C2" w:rsidRPr="00606DDD" w:rsidRDefault="004053C2" w:rsidP="00606DDD">
      <w:pPr>
        <w:shd w:val="clear" w:color="auto" w:fill="FFFFFF"/>
        <w:spacing w:after="160" w:line="276" w:lineRule="auto"/>
        <w:jc w:val="center"/>
        <w:rPr>
          <w:rFonts w:asciiTheme="majorHAnsi" w:eastAsia="Times New Roman" w:hAnsiTheme="majorHAnsi" w:cstheme="majorHAnsi"/>
          <w:b/>
          <w:bCs/>
          <w:color w:val="212121"/>
          <w:sz w:val="22"/>
          <w:szCs w:val="22"/>
          <w:shd w:val="clear" w:color="auto" w:fill="FFFFFF"/>
          <w:lang w:val="es-PR"/>
        </w:rPr>
      </w:pPr>
    </w:p>
    <w:p w14:paraId="4E0B2E96" w14:textId="24BA6BAC" w:rsidR="00A0337B" w:rsidRPr="00606DDD" w:rsidRDefault="00DA2DB0" w:rsidP="00A0337B">
      <w:pPr>
        <w:spacing w:after="160" w:line="276" w:lineRule="auto"/>
        <w:jc w:val="center"/>
        <w:rPr>
          <w:rFonts w:asciiTheme="majorHAnsi" w:eastAsia="Times New Roman" w:hAnsiTheme="majorHAnsi" w:cstheme="majorHAnsi"/>
          <w:b/>
          <w:bCs/>
          <w:color w:val="212121"/>
          <w:sz w:val="22"/>
          <w:szCs w:val="22"/>
          <w:shd w:val="clear" w:color="auto" w:fill="FFFFFF"/>
          <w:lang w:val="es-PR"/>
        </w:rPr>
      </w:pPr>
      <w:r w:rsidRPr="00606DDD">
        <w:rPr>
          <w:rFonts w:asciiTheme="majorHAnsi" w:eastAsia="Times New Roman" w:hAnsiTheme="majorHAnsi" w:cstheme="majorHAnsi"/>
          <w:b/>
          <w:bCs/>
          <w:color w:val="212121"/>
          <w:sz w:val="22"/>
          <w:szCs w:val="22"/>
          <w:shd w:val="clear" w:color="auto" w:fill="FFFFFF"/>
          <w:lang w:val="es-PR"/>
        </w:rPr>
        <w:t xml:space="preserve">FISCALES RECHAZAN ALEGACIONES FALSAS DE ABOGADOS DE SHIRLEY VERA BARRETO Y ADVIERTEN SOBRE CONSECUENCIAS ÉTICAS </w:t>
      </w:r>
    </w:p>
    <w:p w14:paraId="1E070996" w14:textId="77777777" w:rsidR="00A0337B" w:rsidRPr="004E0DBD" w:rsidRDefault="00A0337B" w:rsidP="00A0337B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</w:pP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El fiscal de distrito de Aguadilla, Juan Ramos García, y la fiscal Myriam Nieves Vera rechazaron de manera contundente las alegaciones falsas realizadas por los representantes legales de la convicta, Shirley Vera Barreto, y advirtieron que estarán evaluando las expresiones hechas por los abogados y de constituir alguna violación ética tomarán las medidas correspondientes en los foros pertinentes.</w:t>
      </w:r>
    </w:p>
    <w:p w14:paraId="0F0771D9" w14:textId="77777777" w:rsidR="00A0337B" w:rsidRPr="004E0DBD" w:rsidRDefault="00A0337B" w:rsidP="00A0337B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</w:pPr>
    </w:p>
    <w:p w14:paraId="2BA747B5" w14:textId="67B3383C" w:rsidR="00A0337B" w:rsidRPr="004E0DBD" w:rsidRDefault="00A0337B" w:rsidP="00A0337B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</w:pP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“Las alegaciones son falsas, irresponsables, antiéticas y carentes de prueba</w:t>
      </w:r>
      <w:r w:rsidR="0006304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s</w:t>
      </w: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 xml:space="preserve"> que la</w:t>
      </w:r>
      <w:r w:rsidR="0006304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s</w:t>
      </w: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 xml:space="preserve"> sustente</w:t>
      </w:r>
      <w:r w:rsidR="00063049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n</w:t>
      </w: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 xml:space="preserve">. La moción es infundada e improcedente en derecho, pero la vamos a contestar con fundamentos legales y en el tribunal, que es donde se litigan los casos. Además, evaluaremos las alegaciones conforme a los dispuesto en el Código de Ética Profesional de los Abogados”, puntualizó el fiscal Ramos García. </w:t>
      </w:r>
    </w:p>
    <w:p w14:paraId="4B76B53B" w14:textId="77777777" w:rsidR="00A0337B" w:rsidRPr="004E0DBD" w:rsidRDefault="00A0337B" w:rsidP="00A0337B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</w:pPr>
    </w:p>
    <w:p w14:paraId="24138768" w14:textId="1872E720" w:rsidR="00A0337B" w:rsidRPr="0074782B" w:rsidRDefault="00A0337B" w:rsidP="00A0337B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s-PR"/>
        </w:rPr>
      </w:pP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Los fiscales rechazaron las alegaciones sobre la supuesta entrega de notas a Helen Jaramillo, quien figura como una de las testigos del caso. No obstante, destacaron que el testimonio de la testigo no fue transcendental en la determinación del jurado</w:t>
      </w:r>
      <w:r w:rsidR="00F323DE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,</w:t>
      </w: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 xml:space="preserve"> ya que esta no fue testigo esencial de los hechos ni se probó con ella ningún elemento del delito. “Este juicio fue por jurado y el veredicto fue unánime. La decisión no cambiaría si se eliminara su testimonio, pues no declaró sobre los hechos del crimen que cometió Vera Barreto y que probamos con otros testigos y vasta evidencia. La declaración de esa testigo se limitó a describir el carácter del occiso</w:t>
      </w:r>
      <w:r w:rsidR="004311DA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>,</w:t>
      </w:r>
      <w:r w:rsidRPr="004E0DBD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val="es-PR"/>
        </w:rPr>
        <w:t xml:space="preserve"> y la defensa no lo objetó oportunamente”, </w:t>
      </w:r>
      <w:r w:rsidRPr="0074782B"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s-PR"/>
        </w:rPr>
        <w:t>detalló la fiscal Nieves Vera.</w:t>
      </w:r>
    </w:p>
    <w:p w14:paraId="1C3E54A2" w14:textId="77777777" w:rsidR="00A0337B" w:rsidRPr="0074782B" w:rsidRDefault="00A0337B" w:rsidP="00A0337B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s-PR"/>
        </w:rPr>
      </w:pPr>
    </w:p>
    <w:p w14:paraId="1E419901" w14:textId="3DFD8ECA" w:rsidR="00A0337B" w:rsidRPr="0074782B" w:rsidRDefault="00A0337B" w:rsidP="00A0337B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</w:pPr>
      <w:r w:rsidRPr="0074782B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“Cabe destacar que de la declaración jurada que acaba de prestar la testigo 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en ningún momento surge que se retracta de su </w:t>
      </w:r>
      <w:r w:rsidR="00B05603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>testimonio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 </w:t>
      </w:r>
      <w:r w:rsidR="00B05603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>vertido</w:t>
      </w:r>
      <w:r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 en el juicio”</w:t>
      </w:r>
      <w:r w:rsidRPr="0074782B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>, añadió</w:t>
      </w:r>
      <w:r w:rsidR="00EB4EA3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 la fiscal</w:t>
      </w:r>
      <w:r w:rsidRPr="0074782B"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  <w:t xml:space="preserve">. </w:t>
      </w:r>
    </w:p>
    <w:p w14:paraId="55978025" w14:textId="77777777" w:rsidR="00A0337B" w:rsidRPr="0074782B" w:rsidRDefault="00A0337B" w:rsidP="00A0337B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212121"/>
          <w:sz w:val="22"/>
          <w:szCs w:val="22"/>
          <w:lang w:val="es-PR"/>
        </w:rPr>
      </w:pPr>
    </w:p>
    <w:p w14:paraId="301C01E8" w14:textId="386817BA" w:rsidR="00A0337B" w:rsidRPr="00606DDD" w:rsidRDefault="00A0337B" w:rsidP="00A0337B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</w:pPr>
      <w:r w:rsidRPr="0074782B">
        <w:rPr>
          <w:rFonts w:asciiTheme="majorHAnsi" w:eastAsia="Times New Roman" w:hAnsiTheme="majorHAnsi" w:cstheme="majorHAnsi"/>
          <w:color w:val="212121"/>
          <w:sz w:val="22"/>
          <w:szCs w:val="22"/>
          <w:shd w:val="clear" w:color="auto" w:fill="FFFFFF"/>
          <w:lang w:val="es-PR"/>
        </w:rPr>
        <w:t xml:space="preserve">“No nos sorprende esta actuación de la defensa, porque la conducta de los abogados fue igual de antiética durante el proceso. Hicieron imputaciones infundadas y no respetaron la orden de mordaza emitida por el honorable tribunal. </w:t>
      </w:r>
      <w:r w:rsidRPr="00606DDD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 xml:space="preserve">Por esto, desde el principio solicitamos el auxilio del tribunal para evitar que se ventilara la evidencia públicamente durante el proceso. La defensa quiere litigar el caso </w:t>
      </w:r>
      <w:r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 xml:space="preserve">en los medios y no en </w:t>
      </w:r>
      <w:r w:rsidR="004B3F05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>la corte</w:t>
      </w:r>
      <w:r w:rsidR="00EB4EA3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>; m</w:t>
      </w:r>
      <w:r w:rsidRPr="00606DDD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 xml:space="preserve">ediante falsedades pretenden lograr lo que no pudieron en </w:t>
      </w:r>
      <w:r w:rsidR="00EB4EA3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>el</w:t>
      </w:r>
      <w:r w:rsidRPr="00606DDD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 xml:space="preserve"> tribunal”, sentenció el fiscal Ramos</w:t>
      </w:r>
      <w:r w:rsidR="00EB4EA3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 xml:space="preserve"> García</w:t>
      </w:r>
      <w:r w:rsidRPr="00606DDD">
        <w:rPr>
          <w:rFonts w:asciiTheme="majorHAnsi" w:hAnsiTheme="majorHAnsi" w:cstheme="majorHAnsi"/>
          <w:color w:val="242424"/>
          <w:sz w:val="22"/>
          <w:szCs w:val="22"/>
          <w:bdr w:val="none" w:sz="0" w:space="0" w:color="auto" w:frame="1"/>
          <w:lang w:val="es-PR"/>
        </w:rPr>
        <w:t>.</w:t>
      </w:r>
    </w:p>
    <w:p w14:paraId="6F4E1A5A" w14:textId="77777777" w:rsidR="00606DDD" w:rsidRPr="00606DDD" w:rsidRDefault="00606DDD" w:rsidP="00A0337B">
      <w:pPr>
        <w:spacing w:after="160" w:line="276" w:lineRule="auto"/>
        <w:jc w:val="both"/>
        <w:rPr>
          <w:rFonts w:asciiTheme="majorHAnsi" w:eastAsia="Times New Roman" w:hAnsiTheme="majorHAnsi" w:cstheme="majorHAnsi"/>
          <w:b/>
          <w:bCs/>
          <w:color w:val="212121"/>
          <w:sz w:val="22"/>
          <w:szCs w:val="22"/>
          <w:shd w:val="clear" w:color="auto" w:fill="FFFFFF"/>
          <w:lang w:val="es-PR"/>
        </w:rPr>
      </w:pPr>
    </w:p>
    <w:p w14:paraId="60A06DBC" w14:textId="5953A481" w:rsidR="00DA2DB0" w:rsidRPr="00606DDD" w:rsidRDefault="00A0337B" w:rsidP="00A0337B">
      <w:pPr>
        <w:spacing w:after="160" w:line="276" w:lineRule="auto"/>
        <w:jc w:val="center"/>
        <w:rPr>
          <w:rFonts w:asciiTheme="majorHAnsi" w:hAnsiTheme="majorHAnsi" w:cstheme="majorHAnsi"/>
          <w:sz w:val="22"/>
          <w:szCs w:val="22"/>
          <w:lang w:val="es-PR"/>
        </w:rPr>
      </w:pPr>
      <w:r>
        <w:rPr>
          <w:rFonts w:asciiTheme="majorHAnsi" w:hAnsiTheme="majorHAnsi" w:cstheme="majorHAnsi"/>
          <w:sz w:val="22"/>
          <w:szCs w:val="22"/>
          <w:lang w:val="es-PR"/>
        </w:rPr>
        <w:t>###</w:t>
      </w:r>
    </w:p>
    <w:sectPr w:rsidR="00DA2DB0" w:rsidRPr="00606DDD" w:rsidSect="00762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BCAA" w14:textId="77777777" w:rsidR="003127DE" w:rsidRDefault="003127DE" w:rsidP="00D13A01">
      <w:r>
        <w:separator/>
      </w:r>
    </w:p>
  </w:endnote>
  <w:endnote w:type="continuationSeparator" w:id="0">
    <w:p w14:paraId="568A9C2D" w14:textId="77777777" w:rsidR="003127DE" w:rsidRDefault="003127DE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E6C7" w14:textId="77777777" w:rsidR="00FD4C3D" w:rsidRDefault="00FD4C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8297" w14:textId="4E207DB5" w:rsidR="00D13A01" w:rsidRPr="00214186" w:rsidRDefault="004D576A" w:rsidP="008D05E2">
    <w:pPr>
      <w:pStyle w:val="Footer"/>
      <w:rPr>
        <w:rFonts w:ascii="Montserrat" w:hAnsi="Montserrat"/>
      </w:rPr>
    </w:pPr>
    <w:r>
      <w:rPr>
        <w:rFonts w:ascii="Montserrat" w:hAnsi="Montserrat"/>
        <w:noProof/>
      </w:rPr>
      <w:drawing>
        <wp:inline distT="0" distB="0" distL="0" distR="0" wp14:anchorId="4F836032" wp14:editId="1B2BD37F">
          <wp:extent cx="1127464" cy="930158"/>
          <wp:effectExtent l="0" t="0" r="3175" b="0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649" cy="967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FAFE" w14:textId="77777777" w:rsidR="00FD4C3D" w:rsidRDefault="00FD4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C724D" w14:textId="77777777" w:rsidR="003127DE" w:rsidRDefault="003127DE" w:rsidP="00D13A01">
      <w:r>
        <w:separator/>
      </w:r>
    </w:p>
  </w:footnote>
  <w:footnote w:type="continuationSeparator" w:id="0">
    <w:p w14:paraId="70508BE7" w14:textId="77777777" w:rsidR="003127DE" w:rsidRDefault="003127DE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8477" w14:textId="77777777" w:rsidR="00FD4C3D" w:rsidRDefault="00FD4C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0E60" w14:textId="278CC84D" w:rsidR="004529D5" w:rsidRDefault="00045AE8">
    <w:pPr>
      <w:pStyle w:val="Header"/>
    </w:pPr>
    <w:r>
      <w:rPr>
        <w:noProof/>
      </w:rPr>
      <w:drawing>
        <wp:inline distT="0" distB="0" distL="0" distR="0" wp14:anchorId="5EECE958" wp14:editId="7158D963">
          <wp:extent cx="5943600" cy="1720215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2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D78F5"/>
    <w:multiLevelType w:val="hybridMultilevel"/>
    <w:tmpl w:val="338016E0"/>
    <w:lvl w:ilvl="0" w:tplc="C71C283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891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01"/>
    <w:rsid w:val="00016897"/>
    <w:rsid w:val="0002075D"/>
    <w:rsid w:val="000230EB"/>
    <w:rsid w:val="00040CD4"/>
    <w:rsid w:val="00045AE8"/>
    <w:rsid w:val="00063049"/>
    <w:rsid w:val="00071E27"/>
    <w:rsid w:val="00085520"/>
    <w:rsid w:val="00092DB1"/>
    <w:rsid w:val="000C0FCA"/>
    <w:rsid w:val="000C5D58"/>
    <w:rsid w:val="000D16B0"/>
    <w:rsid w:val="000E6B65"/>
    <w:rsid w:val="000E7B5A"/>
    <w:rsid w:val="000F1211"/>
    <w:rsid w:val="000F1DA0"/>
    <w:rsid w:val="00104B97"/>
    <w:rsid w:val="0012659F"/>
    <w:rsid w:val="00126652"/>
    <w:rsid w:val="00127686"/>
    <w:rsid w:val="001412BB"/>
    <w:rsid w:val="00142F8D"/>
    <w:rsid w:val="001527B0"/>
    <w:rsid w:val="00153290"/>
    <w:rsid w:val="0016062B"/>
    <w:rsid w:val="0017321F"/>
    <w:rsid w:val="001743B6"/>
    <w:rsid w:val="001749D5"/>
    <w:rsid w:val="001764F1"/>
    <w:rsid w:val="00176F9B"/>
    <w:rsid w:val="00190D3C"/>
    <w:rsid w:val="00197BCC"/>
    <w:rsid w:val="001B1974"/>
    <w:rsid w:val="001B1F2E"/>
    <w:rsid w:val="001C6E0B"/>
    <w:rsid w:val="001E3C1A"/>
    <w:rsid w:val="001F5489"/>
    <w:rsid w:val="00202DEB"/>
    <w:rsid w:val="00203EBB"/>
    <w:rsid w:val="00213D55"/>
    <w:rsid w:val="00214186"/>
    <w:rsid w:val="00220EAA"/>
    <w:rsid w:val="00225CD3"/>
    <w:rsid w:val="00227915"/>
    <w:rsid w:val="00236482"/>
    <w:rsid w:val="00236F74"/>
    <w:rsid w:val="002426D5"/>
    <w:rsid w:val="002545E5"/>
    <w:rsid w:val="0025625E"/>
    <w:rsid w:val="002604AB"/>
    <w:rsid w:val="00260A6A"/>
    <w:rsid w:val="00267113"/>
    <w:rsid w:val="002744BB"/>
    <w:rsid w:val="002A008A"/>
    <w:rsid w:val="002A053F"/>
    <w:rsid w:val="002C1651"/>
    <w:rsid w:val="002E039F"/>
    <w:rsid w:val="002E37AB"/>
    <w:rsid w:val="00304F1D"/>
    <w:rsid w:val="00305758"/>
    <w:rsid w:val="003127DE"/>
    <w:rsid w:val="00326039"/>
    <w:rsid w:val="003518E4"/>
    <w:rsid w:val="00375294"/>
    <w:rsid w:val="003770AA"/>
    <w:rsid w:val="00391DAD"/>
    <w:rsid w:val="003B2FCB"/>
    <w:rsid w:val="003B3E17"/>
    <w:rsid w:val="003D6DB2"/>
    <w:rsid w:val="00402DE8"/>
    <w:rsid w:val="00404EB9"/>
    <w:rsid w:val="004053C2"/>
    <w:rsid w:val="00406F4D"/>
    <w:rsid w:val="004107EC"/>
    <w:rsid w:val="004132D0"/>
    <w:rsid w:val="0041466F"/>
    <w:rsid w:val="004311DA"/>
    <w:rsid w:val="0043282B"/>
    <w:rsid w:val="004529D5"/>
    <w:rsid w:val="004773FD"/>
    <w:rsid w:val="004829D5"/>
    <w:rsid w:val="004A17CD"/>
    <w:rsid w:val="004B3F05"/>
    <w:rsid w:val="004B7EB9"/>
    <w:rsid w:val="004C16CC"/>
    <w:rsid w:val="004D0D38"/>
    <w:rsid w:val="004D576A"/>
    <w:rsid w:val="004D7B03"/>
    <w:rsid w:val="004D7DB8"/>
    <w:rsid w:val="004F013A"/>
    <w:rsid w:val="004F507C"/>
    <w:rsid w:val="00511D5C"/>
    <w:rsid w:val="00554E0B"/>
    <w:rsid w:val="005709BA"/>
    <w:rsid w:val="005714C5"/>
    <w:rsid w:val="00572697"/>
    <w:rsid w:val="00574890"/>
    <w:rsid w:val="00574D05"/>
    <w:rsid w:val="00581587"/>
    <w:rsid w:val="00587668"/>
    <w:rsid w:val="005C600E"/>
    <w:rsid w:val="005D3290"/>
    <w:rsid w:val="005F19EE"/>
    <w:rsid w:val="005F32A4"/>
    <w:rsid w:val="00604040"/>
    <w:rsid w:val="006055D6"/>
    <w:rsid w:val="00606DDD"/>
    <w:rsid w:val="00610DA0"/>
    <w:rsid w:val="00632FFC"/>
    <w:rsid w:val="00636179"/>
    <w:rsid w:val="006579AE"/>
    <w:rsid w:val="00660D78"/>
    <w:rsid w:val="00663859"/>
    <w:rsid w:val="00677C16"/>
    <w:rsid w:val="00680030"/>
    <w:rsid w:val="00685ECE"/>
    <w:rsid w:val="006A1C51"/>
    <w:rsid w:val="006B00AB"/>
    <w:rsid w:val="006E2410"/>
    <w:rsid w:val="006E2B58"/>
    <w:rsid w:val="006E3AE8"/>
    <w:rsid w:val="006E7486"/>
    <w:rsid w:val="006F64E0"/>
    <w:rsid w:val="007039F7"/>
    <w:rsid w:val="007243A2"/>
    <w:rsid w:val="00752B54"/>
    <w:rsid w:val="00760463"/>
    <w:rsid w:val="00762F43"/>
    <w:rsid w:val="00763231"/>
    <w:rsid w:val="00763629"/>
    <w:rsid w:val="00766AB1"/>
    <w:rsid w:val="00770554"/>
    <w:rsid w:val="00771C43"/>
    <w:rsid w:val="007722E7"/>
    <w:rsid w:val="0077418F"/>
    <w:rsid w:val="00784C9D"/>
    <w:rsid w:val="00785EFD"/>
    <w:rsid w:val="007A335D"/>
    <w:rsid w:val="007B40D6"/>
    <w:rsid w:val="007C4C29"/>
    <w:rsid w:val="00812472"/>
    <w:rsid w:val="00821ED9"/>
    <w:rsid w:val="00825F1C"/>
    <w:rsid w:val="008274B9"/>
    <w:rsid w:val="008301A6"/>
    <w:rsid w:val="00837B65"/>
    <w:rsid w:val="00841528"/>
    <w:rsid w:val="00850CD5"/>
    <w:rsid w:val="0086120F"/>
    <w:rsid w:val="00873998"/>
    <w:rsid w:val="008762CF"/>
    <w:rsid w:val="00887492"/>
    <w:rsid w:val="0089263D"/>
    <w:rsid w:val="008A376C"/>
    <w:rsid w:val="008B2DE9"/>
    <w:rsid w:val="008B4B3D"/>
    <w:rsid w:val="008C0702"/>
    <w:rsid w:val="008C3FDA"/>
    <w:rsid w:val="008C46B5"/>
    <w:rsid w:val="008D05E2"/>
    <w:rsid w:val="008D0E8A"/>
    <w:rsid w:val="008E7E36"/>
    <w:rsid w:val="008F0EB3"/>
    <w:rsid w:val="008F39CB"/>
    <w:rsid w:val="00901BAA"/>
    <w:rsid w:val="00911C43"/>
    <w:rsid w:val="009173D8"/>
    <w:rsid w:val="009209B3"/>
    <w:rsid w:val="00926003"/>
    <w:rsid w:val="0094567B"/>
    <w:rsid w:val="009476DC"/>
    <w:rsid w:val="0095043E"/>
    <w:rsid w:val="00952A3C"/>
    <w:rsid w:val="00957DC7"/>
    <w:rsid w:val="009610C4"/>
    <w:rsid w:val="009671F2"/>
    <w:rsid w:val="009805C3"/>
    <w:rsid w:val="0098578A"/>
    <w:rsid w:val="00990A83"/>
    <w:rsid w:val="00991286"/>
    <w:rsid w:val="009A2554"/>
    <w:rsid w:val="009C207B"/>
    <w:rsid w:val="009C5A80"/>
    <w:rsid w:val="009D579B"/>
    <w:rsid w:val="009D7F68"/>
    <w:rsid w:val="009F0462"/>
    <w:rsid w:val="009F41BC"/>
    <w:rsid w:val="00A01D37"/>
    <w:rsid w:val="00A0337B"/>
    <w:rsid w:val="00A03429"/>
    <w:rsid w:val="00A11E09"/>
    <w:rsid w:val="00A14445"/>
    <w:rsid w:val="00A2169D"/>
    <w:rsid w:val="00A21D3D"/>
    <w:rsid w:val="00A2584E"/>
    <w:rsid w:val="00A27F3F"/>
    <w:rsid w:val="00A3535D"/>
    <w:rsid w:val="00A43E7A"/>
    <w:rsid w:val="00A54B1E"/>
    <w:rsid w:val="00AB390A"/>
    <w:rsid w:val="00AB6BD3"/>
    <w:rsid w:val="00AC024A"/>
    <w:rsid w:val="00AC1B73"/>
    <w:rsid w:val="00AC5D22"/>
    <w:rsid w:val="00AE58C9"/>
    <w:rsid w:val="00B05603"/>
    <w:rsid w:val="00B0666F"/>
    <w:rsid w:val="00B143F1"/>
    <w:rsid w:val="00B3073C"/>
    <w:rsid w:val="00B36526"/>
    <w:rsid w:val="00B45233"/>
    <w:rsid w:val="00B473D5"/>
    <w:rsid w:val="00B53B79"/>
    <w:rsid w:val="00B72FAA"/>
    <w:rsid w:val="00B75F2E"/>
    <w:rsid w:val="00B80DD5"/>
    <w:rsid w:val="00B852CE"/>
    <w:rsid w:val="00B86BB6"/>
    <w:rsid w:val="00BA6797"/>
    <w:rsid w:val="00BC0FA9"/>
    <w:rsid w:val="00BC29FF"/>
    <w:rsid w:val="00BE21FF"/>
    <w:rsid w:val="00BE69A7"/>
    <w:rsid w:val="00BF131D"/>
    <w:rsid w:val="00C00500"/>
    <w:rsid w:val="00C142BE"/>
    <w:rsid w:val="00C275C5"/>
    <w:rsid w:val="00C509D2"/>
    <w:rsid w:val="00C541E1"/>
    <w:rsid w:val="00C6407F"/>
    <w:rsid w:val="00C65E1A"/>
    <w:rsid w:val="00C717D7"/>
    <w:rsid w:val="00C74271"/>
    <w:rsid w:val="00C777FC"/>
    <w:rsid w:val="00C77AEA"/>
    <w:rsid w:val="00C80DAB"/>
    <w:rsid w:val="00C845B8"/>
    <w:rsid w:val="00C9414D"/>
    <w:rsid w:val="00C947E1"/>
    <w:rsid w:val="00C94E4A"/>
    <w:rsid w:val="00CA65A2"/>
    <w:rsid w:val="00CB5AA6"/>
    <w:rsid w:val="00CC026A"/>
    <w:rsid w:val="00CC5A7E"/>
    <w:rsid w:val="00CC5C40"/>
    <w:rsid w:val="00CD387E"/>
    <w:rsid w:val="00CD5749"/>
    <w:rsid w:val="00CE1F38"/>
    <w:rsid w:val="00CE3886"/>
    <w:rsid w:val="00CE654A"/>
    <w:rsid w:val="00CE7571"/>
    <w:rsid w:val="00D13A01"/>
    <w:rsid w:val="00D16DED"/>
    <w:rsid w:val="00D22C80"/>
    <w:rsid w:val="00D243CD"/>
    <w:rsid w:val="00D30536"/>
    <w:rsid w:val="00D45FA0"/>
    <w:rsid w:val="00D564A6"/>
    <w:rsid w:val="00D76984"/>
    <w:rsid w:val="00D8338B"/>
    <w:rsid w:val="00D85A15"/>
    <w:rsid w:val="00D861F9"/>
    <w:rsid w:val="00D90055"/>
    <w:rsid w:val="00D91EEC"/>
    <w:rsid w:val="00DA2DB0"/>
    <w:rsid w:val="00DA6501"/>
    <w:rsid w:val="00DA72EC"/>
    <w:rsid w:val="00DB139D"/>
    <w:rsid w:val="00DB3C7C"/>
    <w:rsid w:val="00DB54A0"/>
    <w:rsid w:val="00DC01A0"/>
    <w:rsid w:val="00DC1C00"/>
    <w:rsid w:val="00DC7D62"/>
    <w:rsid w:val="00DD1B78"/>
    <w:rsid w:val="00DE0408"/>
    <w:rsid w:val="00DF17CC"/>
    <w:rsid w:val="00DF1B8F"/>
    <w:rsid w:val="00DF5028"/>
    <w:rsid w:val="00E0106E"/>
    <w:rsid w:val="00E02BE1"/>
    <w:rsid w:val="00E1322E"/>
    <w:rsid w:val="00E2035C"/>
    <w:rsid w:val="00E30708"/>
    <w:rsid w:val="00E50653"/>
    <w:rsid w:val="00E52334"/>
    <w:rsid w:val="00E62B13"/>
    <w:rsid w:val="00E806A4"/>
    <w:rsid w:val="00E82E21"/>
    <w:rsid w:val="00E91A67"/>
    <w:rsid w:val="00EB4EA3"/>
    <w:rsid w:val="00EC47E6"/>
    <w:rsid w:val="00ED353F"/>
    <w:rsid w:val="00ED5FF3"/>
    <w:rsid w:val="00EF076F"/>
    <w:rsid w:val="00EF1D1A"/>
    <w:rsid w:val="00F05ECF"/>
    <w:rsid w:val="00F11DE8"/>
    <w:rsid w:val="00F121B7"/>
    <w:rsid w:val="00F22FD2"/>
    <w:rsid w:val="00F323DE"/>
    <w:rsid w:val="00F32982"/>
    <w:rsid w:val="00F371EE"/>
    <w:rsid w:val="00F45647"/>
    <w:rsid w:val="00F507C1"/>
    <w:rsid w:val="00F50B57"/>
    <w:rsid w:val="00F6653E"/>
    <w:rsid w:val="00F75944"/>
    <w:rsid w:val="00F75F88"/>
    <w:rsid w:val="00FA34C7"/>
    <w:rsid w:val="00FB20C7"/>
    <w:rsid w:val="00FB54D9"/>
    <w:rsid w:val="00FC791D"/>
    <w:rsid w:val="00FD12C2"/>
    <w:rsid w:val="00FD4C3D"/>
    <w:rsid w:val="00FD7867"/>
    <w:rsid w:val="00FD7962"/>
    <w:rsid w:val="00FF051D"/>
    <w:rsid w:val="00FF0BB9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paragraph" w:customStyle="1" w:styleId="xmsonormal">
    <w:name w:val="x_msonormal"/>
    <w:basedOn w:val="Normal"/>
    <w:rsid w:val="0089263D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6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7DB8"/>
    <w:rPr>
      <w:color w:val="0000FF"/>
      <w:u w:val="single"/>
    </w:rPr>
  </w:style>
  <w:style w:type="paragraph" w:customStyle="1" w:styleId="xxmsonormal">
    <w:name w:val="x_x_msonormal"/>
    <w:basedOn w:val="Normal"/>
    <w:rsid w:val="00DA2D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Joan Hernandez Marrero</cp:lastModifiedBy>
  <cp:revision>21</cp:revision>
  <cp:lastPrinted>2022-08-04T18:45:00Z</cp:lastPrinted>
  <dcterms:created xsi:type="dcterms:W3CDTF">2022-10-19T19:14:00Z</dcterms:created>
  <dcterms:modified xsi:type="dcterms:W3CDTF">2022-10-19T19:52:00Z</dcterms:modified>
</cp:coreProperties>
</file>