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342C" w14:textId="146BFC9D" w:rsidR="00FF6BD2" w:rsidRPr="00E31F51" w:rsidRDefault="00C73A1F" w:rsidP="0073229D">
      <w:pPr>
        <w:jc w:val="center"/>
        <w:rPr>
          <w:rFonts w:ascii="Book Antiqua" w:hAnsi="Book Antiqua"/>
          <w:sz w:val="28"/>
          <w:lang w:val="es-ES"/>
        </w:rPr>
      </w:pPr>
      <w:r>
        <w:rPr>
          <w:rFonts w:ascii="Book Antiqua" w:hAnsi="Book Antiqua"/>
          <w:sz w:val="28"/>
          <w:lang w:val="es-ES"/>
        </w:rPr>
        <w:t>GOBIERNO DE PUERTO RICO</w:t>
      </w:r>
    </w:p>
    <w:p w14:paraId="21FB4651" w14:textId="77777777" w:rsidR="00905CF6" w:rsidRPr="00E31F51" w:rsidRDefault="00905CF6" w:rsidP="0073229D">
      <w:pPr>
        <w:rPr>
          <w:rFonts w:ascii="Book Antiqua" w:hAnsi="Book Antiqua"/>
          <w:sz w:val="28"/>
          <w:lang w:val="es-ES"/>
        </w:rPr>
      </w:pPr>
    </w:p>
    <w:p w14:paraId="3FC55A7B" w14:textId="4055BBEA" w:rsidR="00905CF6" w:rsidRPr="00E31F51" w:rsidRDefault="0073229D" w:rsidP="0073229D">
      <w:pPr>
        <w:pStyle w:val="Title2"/>
        <w:rPr>
          <w:rFonts w:ascii="Book Antiqua" w:hAnsi="Book Antiqua"/>
          <w:lang w:val="es-ES"/>
        </w:rPr>
      </w:pPr>
      <w:r>
        <w:rPr>
          <w:rFonts w:ascii="Book Antiqua" w:hAnsi="Book Antiqua"/>
          <w:lang w:val="es-ES"/>
        </w:rPr>
        <w:t>20ma.</w:t>
      </w:r>
      <w:r w:rsidR="00905CF6" w:rsidRPr="00E31F51">
        <w:rPr>
          <w:rFonts w:ascii="Book Antiqua" w:hAnsi="Book Antiqua"/>
          <w:lang w:val="es-ES"/>
        </w:rPr>
        <w:tab/>
        <w:t>Asamblea</w:t>
      </w:r>
      <w:r w:rsidR="00905CF6" w:rsidRPr="00E31F51">
        <w:rPr>
          <w:rFonts w:ascii="Book Antiqua" w:hAnsi="Book Antiqua"/>
          <w:lang w:val="es-ES"/>
        </w:rPr>
        <w:tab/>
      </w:r>
      <w:r>
        <w:rPr>
          <w:rFonts w:ascii="Book Antiqua" w:hAnsi="Book Antiqua"/>
          <w:lang w:val="es-ES"/>
        </w:rPr>
        <w:t>1ra.</w:t>
      </w:r>
      <w:r w:rsidR="00905CF6" w:rsidRPr="00E31F51">
        <w:rPr>
          <w:rFonts w:ascii="Book Antiqua" w:hAnsi="Book Antiqua"/>
          <w:lang w:val="es-ES"/>
        </w:rPr>
        <w:tab/>
        <w:t>Sesión</w:t>
      </w:r>
    </w:p>
    <w:p w14:paraId="112CFE59" w14:textId="77777777" w:rsidR="00905CF6" w:rsidRPr="00E31F51" w:rsidRDefault="00905CF6" w:rsidP="0073229D">
      <w:pPr>
        <w:pStyle w:val="Title2"/>
        <w:rPr>
          <w:rFonts w:ascii="Book Antiqua" w:hAnsi="Book Antiqua"/>
          <w:lang w:val="es-ES"/>
        </w:rPr>
      </w:pPr>
      <w:r w:rsidRPr="00E31F51">
        <w:rPr>
          <w:rFonts w:ascii="Book Antiqua" w:hAnsi="Book Antiqua"/>
          <w:lang w:val="es-ES"/>
        </w:rPr>
        <w:tab/>
        <w:t>Legislativa</w:t>
      </w:r>
      <w:r w:rsidRPr="00E31F51">
        <w:rPr>
          <w:rFonts w:ascii="Book Antiqua" w:hAnsi="Book Antiqua"/>
          <w:lang w:val="es-ES"/>
        </w:rPr>
        <w:tab/>
      </w:r>
      <w:r w:rsidRPr="00E31F51">
        <w:rPr>
          <w:rFonts w:ascii="Book Antiqua" w:hAnsi="Book Antiqua"/>
          <w:lang w:val="es-ES"/>
        </w:rPr>
        <w:tab/>
        <w:t>Ordinaria</w:t>
      </w:r>
    </w:p>
    <w:p w14:paraId="062651C2" w14:textId="77777777" w:rsidR="00905CF6" w:rsidRPr="00E31F51" w:rsidRDefault="00905CF6" w:rsidP="0073229D">
      <w:pPr>
        <w:rPr>
          <w:lang w:val="es-ES"/>
        </w:rPr>
      </w:pPr>
    </w:p>
    <w:p w14:paraId="071B4683" w14:textId="77777777" w:rsidR="00905CF6" w:rsidRPr="00E31F51" w:rsidRDefault="00905CF6" w:rsidP="0073229D">
      <w:pPr>
        <w:jc w:val="center"/>
        <w:rPr>
          <w:rFonts w:ascii="Book Antiqua" w:hAnsi="Book Antiqua"/>
          <w:b/>
          <w:sz w:val="36"/>
          <w:lang w:val="es-ES"/>
        </w:rPr>
      </w:pPr>
      <w:r w:rsidRPr="00E31F51">
        <w:rPr>
          <w:rFonts w:ascii="Book Antiqua" w:hAnsi="Book Antiqua"/>
          <w:b/>
          <w:sz w:val="36"/>
          <w:lang w:val="es-ES"/>
        </w:rPr>
        <w:t>CÁMARA DE REPRESENTANTES</w:t>
      </w:r>
    </w:p>
    <w:p w14:paraId="3C6CCA8F" w14:textId="77777777" w:rsidR="00905CF6" w:rsidRPr="00E31F51" w:rsidRDefault="00905CF6" w:rsidP="0073229D">
      <w:pPr>
        <w:jc w:val="center"/>
        <w:rPr>
          <w:rFonts w:ascii="Book Antiqua" w:hAnsi="Book Antiqua"/>
          <w:b/>
          <w:sz w:val="36"/>
          <w:lang w:val="es-ES"/>
        </w:rPr>
      </w:pPr>
    </w:p>
    <w:p w14:paraId="34A3A7EB" w14:textId="66A44057" w:rsidR="00905CF6" w:rsidRPr="00E31F51" w:rsidRDefault="00905CF6" w:rsidP="0073229D">
      <w:pPr>
        <w:jc w:val="center"/>
        <w:rPr>
          <w:rFonts w:ascii="Book Antiqua" w:hAnsi="Book Antiqua"/>
          <w:b/>
          <w:sz w:val="52"/>
          <w:lang w:val="es-ES"/>
        </w:rPr>
      </w:pPr>
      <w:r w:rsidRPr="00E31F51">
        <w:rPr>
          <w:rFonts w:ascii="Book Antiqua" w:hAnsi="Book Antiqua"/>
          <w:b/>
          <w:sz w:val="52"/>
          <w:lang w:val="es-ES"/>
        </w:rPr>
        <w:t xml:space="preserve">P. de la C. </w:t>
      </w:r>
      <w:r w:rsidR="009558A6">
        <w:rPr>
          <w:rFonts w:ascii="Book Antiqua" w:hAnsi="Book Antiqua"/>
          <w:b/>
          <w:sz w:val="52"/>
          <w:lang w:val="es-ES"/>
        </w:rPr>
        <w:t>133</w:t>
      </w:r>
    </w:p>
    <w:p w14:paraId="7BD76842" w14:textId="77777777" w:rsidR="0073229D" w:rsidRDefault="0073229D" w:rsidP="0073229D">
      <w:pPr>
        <w:jc w:val="center"/>
        <w:rPr>
          <w:rFonts w:ascii="Book Antiqua" w:hAnsi="Book Antiqua"/>
          <w:lang w:val="es-ES"/>
        </w:rPr>
      </w:pPr>
    </w:p>
    <w:p w14:paraId="056D9F4B" w14:textId="3DA4F1A7" w:rsidR="00905CF6" w:rsidRPr="00E31F51" w:rsidRDefault="009558A6" w:rsidP="0073229D">
      <w:pPr>
        <w:jc w:val="center"/>
        <w:rPr>
          <w:rFonts w:ascii="Book Antiqua" w:hAnsi="Book Antiqua"/>
          <w:lang w:val="es-ES"/>
        </w:rPr>
      </w:pPr>
      <w:r>
        <w:rPr>
          <w:rFonts w:ascii="Book Antiqua" w:hAnsi="Book Antiqua"/>
          <w:lang w:val="es-ES"/>
        </w:rPr>
        <w:t xml:space="preserve">7 </w:t>
      </w:r>
      <w:r w:rsidR="005615B9">
        <w:rPr>
          <w:rFonts w:ascii="Book Antiqua" w:hAnsi="Book Antiqua"/>
          <w:lang w:val="es-ES"/>
        </w:rPr>
        <w:t xml:space="preserve">DE </w:t>
      </w:r>
      <w:r w:rsidR="00C73A1F">
        <w:rPr>
          <w:rFonts w:ascii="Book Antiqua" w:hAnsi="Book Antiqua"/>
          <w:lang w:val="es-ES"/>
        </w:rPr>
        <w:t>ENERO</w:t>
      </w:r>
      <w:r w:rsidR="00905CF6" w:rsidRPr="00E31F51">
        <w:rPr>
          <w:rFonts w:ascii="Book Antiqua" w:hAnsi="Book Antiqua"/>
          <w:lang w:val="es-ES"/>
        </w:rPr>
        <w:t xml:space="preserve"> DE 202</w:t>
      </w:r>
      <w:r w:rsidR="00C73A1F">
        <w:rPr>
          <w:rFonts w:ascii="Book Antiqua" w:hAnsi="Book Antiqua"/>
          <w:lang w:val="es-ES"/>
        </w:rPr>
        <w:t>5</w:t>
      </w:r>
    </w:p>
    <w:p w14:paraId="46F163C3" w14:textId="6DDF724E" w:rsidR="0073229D" w:rsidRDefault="0073229D" w:rsidP="0073229D">
      <w:pPr>
        <w:jc w:val="center"/>
        <w:rPr>
          <w:rFonts w:ascii="Book Antiqua" w:hAnsi="Book Antiqua"/>
          <w:lang w:val="es-ES"/>
        </w:rPr>
      </w:pPr>
    </w:p>
    <w:p w14:paraId="5984A735" w14:textId="6F9CCFDE" w:rsidR="00905CF6" w:rsidRPr="00E31F51" w:rsidRDefault="0073229D" w:rsidP="0073229D">
      <w:pPr>
        <w:jc w:val="center"/>
        <w:rPr>
          <w:rFonts w:ascii="Book Antiqua" w:hAnsi="Book Antiqua"/>
          <w:lang w:val="es-ES"/>
        </w:rPr>
      </w:pPr>
      <w:r>
        <w:rPr>
          <w:rFonts w:ascii="Book Antiqua" w:hAnsi="Book Antiqua"/>
          <w:lang w:val="es-ES"/>
        </w:rPr>
        <w:t>P</w:t>
      </w:r>
      <w:r w:rsidR="00905CF6" w:rsidRPr="00E31F51">
        <w:rPr>
          <w:rFonts w:ascii="Book Antiqua" w:hAnsi="Book Antiqua"/>
          <w:lang w:val="es-ES"/>
        </w:rPr>
        <w:t xml:space="preserve">resentado por el representante </w:t>
      </w:r>
      <w:r w:rsidR="00140964">
        <w:rPr>
          <w:rFonts w:ascii="Book Antiqua" w:hAnsi="Book Antiqua"/>
          <w:i/>
          <w:lang w:val="es-ES"/>
        </w:rPr>
        <w:t>Navarro Suárez</w:t>
      </w:r>
    </w:p>
    <w:p w14:paraId="6313DD13" w14:textId="77777777" w:rsidR="0073229D" w:rsidRDefault="0073229D" w:rsidP="0073229D">
      <w:pPr>
        <w:jc w:val="center"/>
        <w:rPr>
          <w:rFonts w:ascii="Book Antiqua" w:hAnsi="Book Antiqua"/>
          <w:lang w:val="es-ES"/>
        </w:rPr>
      </w:pPr>
    </w:p>
    <w:p w14:paraId="510F877A" w14:textId="4E07BB73" w:rsidR="00905CF6" w:rsidRPr="00E31F51" w:rsidRDefault="00905CF6" w:rsidP="0073229D">
      <w:pPr>
        <w:jc w:val="center"/>
        <w:rPr>
          <w:rFonts w:ascii="Book Antiqua" w:hAnsi="Book Antiqua"/>
          <w:lang w:val="es-ES"/>
        </w:rPr>
      </w:pPr>
      <w:r w:rsidRPr="00E31F51">
        <w:rPr>
          <w:rFonts w:ascii="Book Antiqua" w:hAnsi="Book Antiqua"/>
          <w:lang w:val="es-ES"/>
        </w:rPr>
        <w:t>Referido a</w:t>
      </w:r>
      <w:r w:rsidR="0073229D">
        <w:rPr>
          <w:rFonts w:ascii="Book Antiqua" w:hAnsi="Book Antiqua"/>
          <w:lang w:val="es-ES"/>
        </w:rPr>
        <w:t xml:space="preserve"> la Comisión de Gobierno</w:t>
      </w:r>
    </w:p>
    <w:p w14:paraId="5BCD2A63" w14:textId="77777777" w:rsidR="00905CF6" w:rsidRPr="00E31F51" w:rsidRDefault="00905CF6" w:rsidP="0073229D">
      <w:pPr>
        <w:jc w:val="center"/>
        <w:rPr>
          <w:rFonts w:ascii="Book Antiqua" w:hAnsi="Book Antiqua"/>
          <w:lang w:val="es-ES"/>
        </w:rPr>
      </w:pPr>
    </w:p>
    <w:p w14:paraId="68DFF459" w14:textId="77777777" w:rsidR="00905CF6" w:rsidRPr="00E31F51" w:rsidRDefault="00905CF6" w:rsidP="0073229D">
      <w:pPr>
        <w:jc w:val="center"/>
        <w:rPr>
          <w:rFonts w:ascii="Book Antiqua" w:hAnsi="Book Antiqua"/>
          <w:b/>
          <w:sz w:val="28"/>
          <w:lang w:val="es-ES"/>
        </w:rPr>
      </w:pPr>
      <w:r w:rsidRPr="00E31F51">
        <w:rPr>
          <w:rFonts w:ascii="Book Antiqua" w:hAnsi="Book Antiqua"/>
          <w:b/>
          <w:sz w:val="28"/>
          <w:lang w:val="es-ES"/>
        </w:rPr>
        <w:t>LEY</w:t>
      </w:r>
    </w:p>
    <w:p w14:paraId="72ADF91C" w14:textId="77777777" w:rsidR="00905CF6" w:rsidRPr="00E31F51" w:rsidRDefault="00905CF6" w:rsidP="0073229D">
      <w:pPr>
        <w:rPr>
          <w:rFonts w:ascii="Book Antiqua" w:hAnsi="Book Antiqua"/>
          <w:lang w:val="es-ES"/>
        </w:rPr>
      </w:pPr>
    </w:p>
    <w:p w14:paraId="173A8DE7" w14:textId="622F35AC" w:rsidR="00905CF6" w:rsidRPr="00E31F51" w:rsidRDefault="00905CF6" w:rsidP="0073229D">
      <w:pPr>
        <w:ind w:left="567" w:hanging="567"/>
        <w:jc w:val="both"/>
        <w:rPr>
          <w:rFonts w:ascii="Book Antiqua" w:hAnsi="Book Antiqua"/>
          <w:lang w:val="es-ES"/>
        </w:rPr>
      </w:pPr>
      <w:r w:rsidRPr="00E31F51">
        <w:rPr>
          <w:rFonts w:ascii="Book Antiqua" w:hAnsi="Book Antiqua"/>
          <w:lang w:val="es-ES"/>
        </w:rPr>
        <w:t xml:space="preserve">Para </w:t>
      </w:r>
      <w:r w:rsidR="009A230F" w:rsidRPr="00E31F51">
        <w:rPr>
          <w:rFonts w:ascii="Book Antiqua" w:hAnsi="Book Antiqua"/>
          <w:lang w:val="es-ES"/>
        </w:rPr>
        <w:t xml:space="preserve">crear la </w:t>
      </w:r>
      <w:r w:rsidR="007B44B1">
        <w:rPr>
          <w:rFonts w:ascii="Book Antiqua" w:hAnsi="Book Antiqua"/>
          <w:lang w:val="es-ES"/>
        </w:rPr>
        <w:t>“</w:t>
      </w:r>
      <w:r w:rsidR="00671011">
        <w:rPr>
          <w:rFonts w:ascii="Book Antiqua" w:hAnsi="Book Antiqua"/>
          <w:lang w:val="es-ES"/>
        </w:rPr>
        <w:t xml:space="preserve">Ley </w:t>
      </w:r>
      <w:r w:rsidR="00E93183">
        <w:rPr>
          <w:rFonts w:ascii="Book Antiqua" w:hAnsi="Book Antiqua"/>
          <w:lang w:val="es-ES"/>
        </w:rPr>
        <w:t>de Planes de Pagos Justos Para</w:t>
      </w:r>
      <w:r w:rsidR="001F5440">
        <w:rPr>
          <w:rFonts w:ascii="Book Antiqua" w:hAnsi="Book Antiqua"/>
          <w:lang w:val="es-ES"/>
        </w:rPr>
        <w:t xml:space="preserve"> Garantizar la Continuidad de</w:t>
      </w:r>
      <w:r w:rsidR="00E93183">
        <w:rPr>
          <w:rFonts w:ascii="Book Antiqua" w:hAnsi="Book Antiqua"/>
          <w:lang w:val="es-ES"/>
        </w:rPr>
        <w:t xml:space="preserve"> Servicios Esenciales</w:t>
      </w:r>
      <w:r w:rsidR="00497647">
        <w:rPr>
          <w:rFonts w:ascii="Book Antiqua" w:hAnsi="Book Antiqua"/>
          <w:lang w:val="es-ES"/>
        </w:rPr>
        <w:t>”</w:t>
      </w:r>
      <w:r w:rsidR="00A42BC6">
        <w:rPr>
          <w:rFonts w:ascii="Book Antiqua" w:hAnsi="Book Antiqua"/>
          <w:i/>
          <w:iCs/>
          <w:u w:val="single"/>
          <w:lang w:val="es-ES"/>
        </w:rPr>
        <w:t>; a los fines</w:t>
      </w:r>
      <w:r w:rsidR="0084322F">
        <w:rPr>
          <w:rFonts w:ascii="Book Antiqua" w:hAnsi="Book Antiqua"/>
          <w:lang w:val="es-ES"/>
        </w:rPr>
        <w:t xml:space="preserve"> </w:t>
      </w:r>
      <w:r w:rsidR="00C6265A" w:rsidRPr="00A42BC6">
        <w:rPr>
          <w:rFonts w:ascii="Book Antiqua" w:hAnsi="Book Antiqua"/>
          <w:strike/>
          <w:lang w:val="es-ES"/>
        </w:rPr>
        <w:t>con el fin</w:t>
      </w:r>
      <w:r w:rsidR="00C6265A" w:rsidRPr="00C6265A">
        <w:rPr>
          <w:rFonts w:ascii="Book Antiqua" w:hAnsi="Book Antiqua"/>
          <w:lang w:val="es-ES"/>
        </w:rPr>
        <w:t xml:space="preserve"> de</w:t>
      </w:r>
      <w:r w:rsidR="000F6622">
        <w:rPr>
          <w:rFonts w:ascii="Book Antiqua" w:hAnsi="Book Antiqua"/>
          <w:lang w:val="es-ES"/>
        </w:rPr>
        <w:t xml:space="preserve"> garantizar la continuidad de los servicios esenciales de agua potable y energía eléctrica</w:t>
      </w:r>
      <w:r w:rsidR="00A42BC6">
        <w:rPr>
          <w:rFonts w:ascii="Book Antiqua" w:hAnsi="Book Antiqua"/>
          <w:i/>
          <w:iCs/>
          <w:u w:val="single"/>
          <w:lang w:val="es-ES"/>
        </w:rPr>
        <w:t>; disponer</w:t>
      </w:r>
      <w:r w:rsidR="000F6622">
        <w:rPr>
          <w:rFonts w:ascii="Book Antiqua" w:hAnsi="Book Antiqua"/>
          <w:lang w:val="es-ES"/>
        </w:rPr>
        <w:t xml:space="preserve"> </w:t>
      </w:r>
      <w:r w:rsidR="00BC70F4" w:rsidRPr="00A42BC6">
        <w:rPr>
          <w:rFonts w:ascii="Book Antiqua" w:hAnsi="Book Antiqua"/>
          <w:strike/>
          <w:lang w:val="es-ES"/>
        </w:rPr>
        <w:t>se dispone</w:t>
      </w:r>
      <w:r w:rsidR="00BC70F4">
        <w:rPr>
          <w:rFonts w:ascii="Book Antiqua" w:hAnsi="Book Antiqua"/>
          <w:lang w:val="es-ES"/>
        </w:rPr>
        <w:t xml:space="preserve"> que</w:t>
      </w:r>
      <w:r w:rsidR="00D32189">
        <w:rPr>
          <w:rFonts w:ascii="Book Antiqua" w:hAnsi="Book Antiqua"/>
          <w:lang w:val="es-ES"/>
        </w:rPr>
        <w:t xml:space="preserve"> </w:t>
      </w:r>
      <w:r w:rsidR="000F6622">
        <w:rPr>
          <w:rFonts w:ascii="Book Antiqua" w:hAnsi="Book Antiqua"/>
          <w:lang w:val="es-ES"/>
        </w:rPr>
        <w:t>los acuerdo</w:t>
      </w:r>
      <w:r w:rsidR="00D32189">
        <w:rPr>
          <w:rFonts w:ascii="Book Antiqua" w:hAnsi="Book Antiqua"/>
          <w:lang w:val="es-ES"/>
        </w:rPr>
        <w:t>s</w:t>
      </w:r>
      <w:r w:rsidR="000F6622">
        <w:rPr>
          <w:rFonts w:ascii="Book Antiqua" w:hAnsi="Book Antiqua"/>
          <w:lang w:val="es-ES"/>
        </w:rPr>
        <w:t xml:space="preserve"> de pagos </w:t>
      </w:r>
      <w:r w:rsidR="00BC70F4">
        <w:rPr>
          <w:rFonts w:ascii="Book Antiqua" w:hAnsi="Book Antiqua"/>
          <w:lang w:val="es-ES"/>
        </w:rPr>
        <w:t>por concepto de deudas de los ciudadanos</w:t>
      </w:r>
      <w:r w:rsidR="000F6622">
        <w:rPr>
          <w:rFonts w:ascii="Book Antiqua" w:hAnsi="Book Antiqua"/>
          <w:lang w:val="es-ES"/>
        </w:rPr>
        <w:t xml:space="preserve"> deben ajustarse a criterios de capacidad de pago</w:t>
      </w:r>
      <w:r w:rsidR="002F427F">
        <w:rPr>
          <w:rFonts w:ascii="Book Antiqua" w:hAnsi="Book Antiqua"/>
          <w:lang w:val="es-ES"/>
        </w:rPr>
        <w:t>;</w:t>
      </w:r>
      <w:r w:rsidR="00C6265A" w:rsidRPr="00C6265A">
        <w:rPr>
          <w:rFonts w:ascii="Book Antiqua" w:hAnsi="Book Antiqua"/>
          <w:lang w:val="es-ES"/>
        </w:rPr>
        <w:t xml:space="preserve"> y para otros fines relacionados.</w:t>
      </w:r>
      <w:r w:rsidR="00C6265A">
        <w:rPr>
          <w:rFonts w:ascii="Book Antiqua" w:hAnsi="Book Antiqua"/>
          <w:lang w:val="es-ES"/>
        </w:rPr>
        <w:t xml:space="preserve"> </w:t>
      </w:r>
    </w:p>
    <w:p w14:paraId="560286D9" w14:textId="77777777" w:rsidR="0073229D" w:rsidRDefault="0073229D" w:rsidP="0073229D">
      <w:pPr>
        <w:ind w:firstLine="360"/>
        <w:rPr>
          <w:rFonts w:ascii="Book Antiqua" w:hAnsi="Book Antiqua"/>
          <w:lang w:val="es-ES"/>
        </w:rPr>
      </w:pPr>
    </w:p>
    <w:p w14:paraId="3C628B98" w14:textId="74B4C550" w:rsidR="00905CF6" w:rsidRDefault="00905CF6" w:rsidP="0073229D">
      <w:pPr>
        <w:ind w:firstLine="360"/>
        <w:jc w:val="center"/>
        <w:rPr>
          <w:rFonts w:ascii="Book Antiqua" w:hAnsi="Book Antiqua"/>
          <w:lang w:val="es-ES"/>
        </w:rPr>
      </w:pPr>
      <w:r w:rsidRPr="00E31F51">
        <w:rPr>
          <w:rFonts w:ascii="Book Antiqua" w:hAnsi="Book Antiqua"/>
          <w:lang w:val="es-ES"/>
        </w:rPr>
        <w:t>EXPOSICIÓN DE MOTIVOS</w:t>
      </w:r>
    </w:p>
    <w:p w14:paraId="14DBFD83" w14:textId="77777777" w:rsidR="0073229D" w:rsidRPr="00E31F51" w:rsidRDefault="0073229D" w:rsidP="0073229D">
      <w:pPr>
        <w:ind w:firstLine="360"/>
        <w:jc w:val="center"/>
        <w:rPr>
          <w:rFonts w:ascii="Book Antiqua" w:hAnsi="Book Antiqua"/>
          <w:lang w:val="es-ES"/>
        </w:rPr>
      </w:pPr>
    </w:p>
    <w:p w14:paraId="0B600E80" w14:textId="77777777" w:rsidR="00994578" w:rsidRDefault="00994578" w:rsidP="0073229D">
      <w:pPr>
        <w:ind w:firstLine="720"/>
        <w:jc w:val="both"/>
        <w:rPr>
          <w:rFonts w:ascii="Book Antiqua" w:hAnsi="Book Antiqua"/>
          <w:lang w:val="es-ES"/>
        </w:rPr>
      </w:pPr>
      <w:r>
        <w:rPr>
          <w:rFonts w:ascii="Book Antiqua" w:hAnsi="Book Antiqua"/>
          <w:lang w:val="es-ES"/>
        </w:rPr>
        <w:t>E</w:t>
      </w:r>
      <w:r w:rsidRPr="00FE51C4">
        <w:rPr>
          <w:rFonts w:ascii="Book Antiqua" w:hAnsi="Book Antiqua"/>
          <w:lang w:val="es-ES"/>
        </w:rPr>
        <w:t>s esencial fomentar una sociedad más justa y equitativa, donde el acceso a servicios básicos esté garantizado como un derecho fundamental, y no condicionado por la capacidad económica del momento.</w:t>
      </w:r>
    </w:p>
    <w:p w14:paraId="7B9D871C" w14:textId="77777777" w:rsidR="00994578" w:rsidRDefault="00994578" w:rsidP="0073229D">
      <w:pPr>
        <w:ind w:firstLine="720"/>
        <w:jc w:val="both"/>
        <w:rPr>
          <w:rFonts w:ascii="Book Antiqua" w:hAnsi="Book Antiqua"/>
          <w:lang w:val="es-ES"/>
        </w:rPr>
      </w:pPr>
    </w:p>
    <w:p w14:paraId="74BF07BD" w14:textId="464214C2" w:rsidR="00FE51C4" w:rsidRDefault="00FE51C4" w:rsidP="0073229D">
      <w:pPr>
        <w:ind w:firstLine="720"/>
        <w:jc w:val="both"/>
        <w:rPr>
          <w:rFonts w:ascii="Book Antiqua" w:hAnsi="Book Antiqua"/>
          <w:lang w:val="es-ES"/>
        </w:rPr>
      </w:pPr>
      <w:r>
        <w:rPr>
          <w:rFonts w:ascii="Book Antiqua" w:hAnsi="Book Antiqua"/>
          <w:lang w:val="es-ES"/>
        </w:rPr>
        <w:t>Es una</w:t>
      </w:r>
      <w:r w:rsidRPr="00FE51C4">
        <w:rPr>
          <w:rFonts w:ascii="Book Antiqua" w:hAnsi="Book Antiqua"/>
          <w:lang w:val="es-ES"/>
        </w:rPr>
        <w:t xml:space="preserve"> necesidad imperativa asegurar que todas las familias puertorriqueñas</w:t>
      </w:r>
      <w:r>
        <w:rPr>
          <w:rFonts w:ascii="Book Antiqua" w:hAnsi="Book Antiqua"/>
          <w:lang w:val="es-ES"/>
        </w:rPr>
        <w:t xml:space="preserve"> </w:t>
      </w:r>
      <w:r w:rsidRPr="00FE51C4">
        <w:rPr>
          <w:rFonts w:ascii="Book Antiqua" w:hAnsi="Book Antiqua"/>
          <w:lang w:val="es-ES"/>
        </w:rPr>
        <w:t>mantengan acceso continuo a servicios fundamentales como el agua potable</w:t>
      </w:r>
      <w:r w:rsidR="00AA7578">
        <w:rPr>
          <w:rFonts w:ascii="Book Antiqua" w:hAnsi="Book Antiqua"/>
          <w:lang w:val="es-ES"/>
        </w:rPr>
        <w:t xml:space="preserve"> y</w:t>
      </w:r>
      <w:r w:rsidRPr="00FE51C4">
        <w:rPr>
          <w:rFonts w:ascii="Book Antiqua" w:hAnsi="Book Antiqua"/>
          <w:lang w:val="es-ES"/>
        </w:rPr>
        <w:t xml:space="preserve"> la energía eléctrica</w:t>
      </w:r>
      <w:r w:rsidR="00AA7578">
        <w:rPr>
          <w:rFonts w:ascii="Book Antiqua" w:hAnsi="Book Antiqua"/>
          <w:lang w:val="es-ES"/>
        </w:rPr>
        <w:t>,</w:t>
      </w:r>
      <w:r w:rsidRPr="00FE51C4">
        <w:rPr>
          <w:rFonts w:ascii="Book Antiqua" w:hAnsi="Book Antiqua"/>
          <w:lang w:val="es-ES"/>
        </w:rPr>
        <w:t xml:space="preserve"> incluso en situaciones de dificultad económica. Estos servicios no son comodidades, sino necesidades básicas que afectan directamente la salud, seguridad y bienestar general de la población.</w:t>
      </w:r>
    </w:p>
    <w:p w14:paraId="189452EA" w14:textId="77777777" w:rsidR="00994578" w:rsidRDefault="00994578" w:rsidP="0073229D">
      <w:pPr>
        <w:ind w:firstLine="720"/>
        <w:jc w:val="both"/>
        <w:rPr>
          <w:rFonts w:ascii="Book Antiqua" w:hAnsi="Book Antiqua"/>
          <w:lang w:val="es-ES"/>
        </w:rPr>
      </w:pPr>
    </w:p>
    <w:p w14:paraId="4C137109" w14:textId="100596C1" w:rsidR="00994578" w:rsidRDefault="00994578" w:rsidP="0073229D">
      <w:pPr>
        <w:ind w:firstLine="720"/>
        <w:jc w:val="both"/>
        <w:rPr>
          <w:rFonts w:ascii="Book Antiqua" w:hAnsi="Book Antiqua"/>
          <w:lang w:val="es-ES"/>
        </w:rPr>
      </w:pPr>
      <w:r w:rsidRPr="00994578">
        <w:rPr>
          <w:rFonts w:ascii="Book Antiqua" w:hAnsi="Book Antiqua"/>
          <w:lang w:val="es-ES"/>
        </w:rPr>
        <w:t>El Gobierno de Puerto Rico tiene el interés apremiante de garantizar la continuidad de los servicios esenciales a los ciudadanos. Aunque estos tengan una deuda, debe proveerse un plan de pago conforme a la capacidad de ingresos de la unidad familiar.</w:t>
      </w:r>
    </w:p>
    <w:p w14:paraId="0F8EF8EC" w14:textId="77777777" w:rsidR="007258DE" w:rsidRPr="00FE51C4" w:rsidRDefault="007258DE" w:rsidP="0073229D">
      <w:pPr>
        <w:ind w:firstLine="720"/>
        <w:jc w:val="both"/>
        <w:rPr>
          <w:rFonts w:ascii="Book Antiqua" w:hAnsi="Book Antiqua"/>
          <w:lang w:val="es-ES"/>
        </w:rPr>
      </w:pPr>
    </w:p>
    <w:p w14:paraId="2E17C8D2" w14:textId="5F98D924" w:rsidR="008776E3" w:rsidRDefault="00FE51C4" w:rsidP="0073229D">
      <w:pPr>
        <w:ind w:firstLine="720"/>
        <w:jc w:val="both"/>
        <w:rPr>
          <w:rFonts w:ascii="Book Antiqua" w:hAnsi="Book Antiqua"/>
          <w:lang w:val="es-ES"/>
        </w:rPr>
      </w:pPr>
      <w:r w:rsidRPr="00FE51C4">
        <w:rPr>
          <w:rFonts w:ascii="Book Antiqua" w:hAnsi="Book Antiqua"/>
          <w:lang w:val="es-ES"/>
        </w:rPr>
        <w:lastRenderedPageBreak/>
        <w:t xml:space="preserve">En momentos de crisis económica o personal, los ciudadanos pueden enfrentarse a la difícil situación de no poder cumplir con los pagos regulares por estos servicios, lo que podría resultar en la suspensión de </w:t>
      </w:r>
      <w:proofErr w:type="gramStart"/>
      <w:r w:rsidRPr="00FE51C4">
        <w:rPr>
          <w:rFonts w:ascii="Book Antiqua" w:hAnsi="Book Antiqua"/>
          <w:lang w:val="es-ES"/>
        </w:rPr>
        <w:t>los mismos</w:t>
      </w:r>
      <w:proofErr w:type="gramEnd"/>
      <w:r w:rsidRPr="00FE51C4">
        <w:rPr>
          <w:rFonts w:ascii="Book Antiqua" w:hAnsi="Book Antiqua"/>
          <w:lang w:val="es-ES"/>
        </w:rPr>
        <w:t>. Esta suspensión no solo agrava la situación de los afectados, sino que también puede tener repercusiones severas en términos de salud pública y seguridad. Por ejemplo, la falta de acceso a agua potable puede provocar problemas de higiene y salud, mientras que la ausencia de electricidad y telecomunicaciones puede impedir la comunicación en situaciones de emergencia y afectar dispositivos médicos esenciales que requieren energía para funcionar.</w:t>
      </w:r>
    </w:p>
    <w:p w14:paraId="36A11B5D" w14:textId="77777777" w:rsidR="007258DE" w:rsidRDefault="007258DE" w:rsidP="0073229D">
      <w:pPr>
        <w:ind w:firstLine="360"/>
        <w:jc w:val="both"/>
        <w:rPr>
          <w:rFonts w:ascii="Book Antiqua" w:hAnsi="Book Antiqua"/>
          <w:lang w:val="es-ES"/>
        </w:rPr>
      </w:pPr>
    </w:p>
    <w:p w14:paraId="318AD3F0" w14:textId="7A0042C5" w:rsidR="00620399" w:rsidRDefault="00FE51C4" w:rsidP="0073229D">
      <w:pPr>
        <w:ind w:firstLine="720"/>
        <w:jc w:val="both"/>
        <w:rPr>
          <w:rFonts w:ascii="Book Antiqua" w:hAnsi="Book Antiqua"/>
          <w:lang w:val="es-ES"/>
        </w:rPr>
      </w:pPr>
      <w:r>
        <w:rPr>
          <w:rFonts w:ascii="Book Antiqua" w:hAnsi="Book Antiqua"/>
          <w:lang w:val="es-ES"/>
        </w:rPr>
        <w:t>A modo de ejemplo, el consorcio de LUMA Energy</w:t>
      </w:r>
      <w:r w:rsidR="00620399">
        <w:rPr>
          <w:rFonts w:ascii="Book Antiqua" w:hAnsi="Book Antiqua"/>
          <w:lang w:val="es-ES"/>
        </w:rPr>
        <w:t>,</w:t>
      </w:r>
      <w:r>
        <w:rPr>
          <w:rFonts w:ascii="Book Antiqua" w:hAnsi="Book Antiqua"/>
          <w:lang w:val="es-ES"/>
        </w:rPr>
        <w:t xml:space="preserve"> para evitar la suspensión de servicio</w:t>
      </w:r>
      <w:r w:rsidR="00620399">
        <w:rPr>
          <w:rFonts w:ascii="Book Antiqua" w:hAnsi="Book Antiqua"/>
          <w:lang w:val="es-ES"/>
        </w:rPr>
        <w:t>,</w:t>
      </w:r>
      <w:r>
        <w:rPr>
          <w:rFonts w:ascii="Book Antiqua" w:hAnsi="Book Antiqua"/>
          <w:lang w:val="es-ES"/>
        </w:rPr>
        <w:t xml:space="preserve"> requiere a los ciudadanos el </w:t>
      </w:r>
      <w:r w:rsidR="00620399">
        <w:rPr>
          <w:rFonts w:ascii="Book Antiqua" w:hAnsi="Book Antiqua"/>
          <w:lang w:val="es-ES"/>
        </w:rPr>
        <w:t xml:space="preserve">cincuenta (50) por ciento del total de la deuda para aprobar un plan de pago. Para muchas familias puertorriqueñas esto </w:t>
      </w:r>
      <w:r w:rsidR="00E4546F">
        <w:rPr>
          <w:rFonts w:ascii="Book Antiqua" w:hAnsi="Book Antiqua"/>
          <w:lang w:val="es-ES"/>
        </w:rPr>
        <w:t>representa</w:t>
      </w:r>
      <w:r w:rsidR="00620399">
        <w:rPr>
          <w:rFonts w:ascii="Book Antiqua" w:hAnsi="Book Antiqua"/>
          <w:lang w:val="es-ES"/>
        </w:rPr>
        <w:t xml:space="preserve"> una crisis económica y son incapaces de pagar un cincuenta (50) por ciento de la deuda para comenzar un acuerdo de pago. El plan de pago no tiene consideración sobre la capacidad de ingresos de la unidad familiar. </w:t>
      </w:r>
    </w:p>
    <w:p w14:paraId="0D3C178F" w14:textId="77777777" w:rsidR="007258DE" w:rsidRDefault="007258DE" w:rsidP="0073229D">
      <w:pPr>
        <w:ind w:firstLine="360"/>
        <w:jc w:val="both"/>
        <w:rPr>
          <w:rFonts w:ascii="Book Antiqua" w:hAnsi="Book Antiqua"/>
          <w:lang w:val="es-ES"/>
        </w:rPr>
      </w:pPr>
    </w:p>
    <w:p w14:paraId="0AECDD15" w14:textId="28C02D72" w:rsidR="00AA7578" w:rsidRDefault="00936910" w:rsidP="0073229D">
      <w:pPr>
        <w:ind w:firstLine="720"/>
        <w:jc w:val="both"/>
        <w:rPr>
          <w:rFonts w:ascii="Book Antiqua" w:hAnsi="Book Antiqua"/>
          <w:lang w:val="es-ES"/>
        </w:rPr>
      </w:pPr>
      <w:r w:rsidRPr="00936910">
        <w:rPr>
          <w:rFonts w:ascii="Book Antiqua" w:hAnsi="Book Antiqua"/>
          <w:lang w:val="es-ES"/>
        </w:rPr>
        <w:t xml:space="preserve">El propósito legislativo es </w:t>
      </w:r>
      <w:r>
        <w:rPr>
          <w:rFonts w:ascii="Book Antiqua" w:hAnsi="Book Antiqua"/>
          <w:lang w:val="es-ES"/>
        </w:rPr>
        <w:t xml:space="preserve">que es incentivas el pago de la deuda </w:t>
      </w:r>
      <w:r w:rsidRPr="00936910">
        <w:rPr>
          <w:rFonts w:ascii="Book Antiqua" w:hAnsi="Book Antiqua"/>
          <w:lang w:val="es-ES"/>
        </w:rPr>
        <w:t xml:space="preserve">pendiente </w:t>
      </w:r>
      <w:r>
        <w:rPr>
          <w:rFonts w:ascii="Book Antiqua" w:hAnsi="Book Antiqua"/>
          <w:lang w:val="es-ES"/>
        </w:rPr>
        <w:t>con planes de pagos que se ajusten a los ingresos del ciudadano. Esto, con</w:t>
      </w:r>
      <w:r w:rsidRPr="00936910">
        <w:rPr>
          <w:rFonts w:ascii="Book Antiqua" w:hAnsi="Book Antiqua"/>
          <w:lang w:val="es-ES"/>
        </w:rPr>
        <w:t xml:space="preserve"> el fin de garantizar que el deudor pueda cumplir con sus obligaciones financieras sin poner en riesgo su estabilidad económica. Esta medida busca proporcionar una solución sostenible para la gestión de deudas, evitando así la suspensión de servicios esenciales y promoviendo la continuidad en el acceso a los mismos.</w:t>
      </w:r>
    </w:p>
    <w:p w14:paraId="5294C03F" w14:textId="77777777" w:rsidR="0073229D" w:rsidRDefault="0073229D" w:rsidP="0073229D">
      <w:pPr>
        <w:rPr>
          <w:rFonts w:ascii="Book Antiqua" w:hAnsi="Book Antiqua"/>
          <w:i/>
          <w:lang w:val="es-ES"/>
        </w:rPr>
      </w:pPr>
    </w:p>
    <w:p w14:paraId="1E21656D" w14:textId="3754FDAE" w:rsidR="00905CF6" w:rsidRPr="00E31F51" w:rsidRDefault="00905CF6" w:rsidP="0073229D">
      <w:pPr>
        <w:rPr>
          <w:rFonts w:ascii="Book Antiqua" w:hAnsi="Book Antiqua"/>
          <w:i/>
          <w:lang w:val="es-ES"/>
        </w:rPr>
      </w:pPr>
      <w:r w:rsidRPr="00E31F51">
        <w:rPr>
          <w:rFonts w:ascii="Book Antiqua" w:hAnsi="Book Antiqua"/>
          <w:i/>
          <w:lang w:val="es-ES"/>
        </w:rPr>
        <w:t>DECRÉTASE POR LA ASAMBLEA LEGISLATIVA DE PUERTO RICO:</w:t>
      </w:r>
    </w:p>
    <w:p w14:paraId="3A576203" w14:textId="77777777" w:rsidR="00905CF6" w:rsidRDefault="00905CF6" w:rsidP="0073229D">
      <w:pPr>
        <w:jc w:val="both"/>
        <w:rPr>
          <w:rFonts w:ascii="Book Antiqua" w:hAnsi="Book Antiqua"/>
          <w:lang w:val="es-ES"/>
        </w:rPr>
      </w:pPr>
    </w:p>
    <w:p w14:paraId="023CDAD2" w14:textId="77777777" w:rsidR="0073229D" w:rsidRPr="00E31F51" w:rsidRDefault="0073229D" w:rsidP="0073229D">
      <w:pPr>
        <w:jc w:val="both"/>
        <w:rPr>
          <w:rFonts w:ascii="Book Antiqua" w:hAnsi="Book Antiqua"/>
          <w:lang w:val="es-ES"/>
        </w:rPr>
        <w:sectPr w:rsidR="0073229D" w:rsidRPr="00E31F51" w:rsidSect="00EB7711">
          <w:headerReference w:type="default" r:id="rId8"/>
          <w:headerReference w:type="first" r:id="rId9"/>
          <w:type w:val="continuous"/>
          <w:pgSz w:w="12240" w:h="15840" w:code="1"/>
          <w:pgMar w:top="1440" w:right="1440" w:bottom="1440" w:left="1440" w:header="720" w:footer="720" w:gutter="0"/>
          <w:cols w:space="720"/>
          <w:titlePg/>
        </w:sectPr>
      </w:pPr>
    </w:p>
    <w:p w14:paraId="73A3640E" w14:textId="03276558" w:rsidR="00905CF6" w:rsidRPr="00E31F51" w:rsidRDefault="00B4041D" w:rsidP="0073229D">
      <w:pPr>
        <w:spacing w:line="480" w:lineRule="auto"/>
        <w:ind w:firstLine="360"/>
        <w:jc w:val="both"/>
        <w:rPr>
          <w:rFonts w:ascii="Book Antiqua" w:hAnsi="Book Antiqua"/>
          <w:lang w:val="es-ES"/>
        </w:rPr>
      </w:pPr>
      <w:r w:rsidRPr="00E31F51">
        <w:rPr>
          <w:rFonts w:ascii="Book Antiqua" w:hAnsi="Book Antiqua"/>
          <w:lang w:val="es-ES"/>
        </w:rPr>
        <w:t>Artículo 1.-</w:t>
      </w:r>
      <w:r w:rsidR="0073229D">
        <w:rPr>
          <w:rFonts w:ascii="Book Antiqua" w:hAnsi="Book Antiqua"/>
          <w:lang w:val="es-ES"/>
        </w:rPr>
        <w:t>T</w:t>
      </w:r>
      <w:r w:rsidRPr="00E31F51">
        <w:rPr>
          <w:rFonts w:ascii="Book Antiqua" w:hAnsi="Book Antiqua"/>
          <w:lang w:val="es-ES"/>
        </w:rPr>
        <w:t>ítulo</w:t>
      </w:r>
    </w:p>
    <w:p w14:paraId="2B0170BC" w14:textId="4E45AEA2" w:rsidR="00D8761D" w:rsidRDefault="00B4041D" w:rsidP="0073229D">
      <w:pPr>
        <w:spacing w:line="480" w:lineRule="auto"/>
        <w:ind w:firstLine="360"/>
        <w:jc w:val="both"/>
        <w:rPr>
          <w:rFonts w:ascii="Book Antiqua" w:hAnsi="Book Antiqua"/>
          <w:lang w:val="es-ES"/>
        </w:rPr>
      </w:pPr>
      <w:r w:rsidRPr="00E31F51">
        <w:rPr>
          <w:rFonts w:ascii="Book Antiqua" w:hAnsi="Book Antiqua"/>
          <w:lang w:val="es-ES"/>
        </w:rPr>
        <w:t>Esta ley se conocerá, y podrá ser citada, como “</w:t>
      </w:r>
      <w:r w:rsidR="00620399" w:rsidRPr="00620399">
        <w:rPr>
          <w:rFonts w:ascii="Book Antiqua" w:hAnsi="Book Antiqua"/>
          <w:lang w:val="es-ES"/>
        </w:rPr>
        <w:t>Ley de Planes de Pagos Justos Para Garantizar la Continuidad de Servicios Esenciales</w:t>
      </w:r>
      <w:r w:rsidR="00671011">
        <w:rPr>
          <w:rFonts w:ascii="Book Antiqua" w:hAnsi="Book Antiqua"/>
          <w:lang w:val="es-ES"/>
        </w:rPr>
        <w:t>”</w:t>
      </w:r>
      <w:r w:rsidR="00235E90">
        <w:rPr>
          <w:rFonts w:ascii="Book Antiqua" w:hAnsi="Book Antiqua"/>
          <w:lang w:val="es-ES"/>
        </w:rPr>
        <w:t xml:space="preserve">. </w:t>
      </w:r>
    </w:p>
    <w:p w14:paraId="589490D8" w14:textId="2982E668" w:rsidR="00235E90" w:rsidRDefault="00235E90" w:rsidP="0073229D">
      <w:pPr>
        <w:spacing w:line="480" w:lineRule="auto"/>
        <w:ind w:firstLine="360"/>
        <w:jc w:val="both"/>
        <w:rPr>
          <w:rFonts w:ascii="Book Antiqua" w:hAnsi="Book Antiqua"/>
          <w:lang w:val="es-ES"/>
        </w:rPr>
      </w:pPr>
      <w:r>
        <w:rPr>
          <w:rFonts w:ascii="Book Antiqua" w:hAnsi="Book Antiqua"/>
          <w:lang w:val="es-ES"/>
        </w:rPr>
        <w:t>Artículo 2.</w:t>
      </w:r>
      <w:r w:rsidR="0073229D">
        <w:rPr>
          <w:rFonts w:ascii="Book Antiqua" w:hAnsi="Book Antiqua"/>
          <w:lang w:val="es-ES"/>
        </w:rPr>
        <w:t>-</w:t>
      </w:r>
      <w:r>
        <w:rPr>
          <w:rFonts w:ascii="Book Antiqua" w:hAnsi="Book Antiqua"/>
          <w:lang w:val="es-ES"/>
        </w:rPr>
        <w:t xml:space="preserve">Definiciones </w:t>
      </w:r>
    </w:p>
    <w:p w14:paraId="1ECE0166" w14:textId="52701BB9" w:rsidR="00235E90" w:rsidRPr="00235E90" w:rsidRDefault="00235E90" w:rsidP="0073229D">
      <w:pPr>
        <w:spacing w:line="480" w:lineRule="auto"/>
        <w:ind w:firstLine="360"/>
        <w:jc w:val="both"/>
        <w:rPr>
          <w:rFonts w:ascii="Book Antiqua" w:hAnsi="Book Antiqua"/>
          <w:lang w:val="es-ES"/>
        </w:rPr>
      </w:pPr>
      <w:r w:rsidRPr="00235E90">
        <w:rPr>
          <w:rFonts w:ascii="Book Antiqua" w:hAnsi="Book Antiqua"/>
          <w:lang w:val="es-ES"/>
        </w:rPr>
        <w:t>Para los propósitos de esta ley, se entenderá por:</w:t>
      </w:r>
    </w:p>
    <w:p w14:paraId="34110351" w14:textId="77777777" w:rsidR="00E04A96" w:rsidRPr="00235E90" w:rsidRDefault="00E04A96" w:rsidP="0073229D">
      <w:pPr>
        <w:pStyle w:val="ListParagraph"/>
        <w:numPr>
          <w:ilvl w:val="0"/>
          <w:numId w:val="3"/>
        </w:numPr>
        <w:spacing w:line="480" w:lineRule="auto"/>
        <w:jc w:val="both"/>
        <w:rPr>
          <w:rFonts w:ascii="Book Antiqua" w:hAnsi="Book Antiqua"/>
          <w:lang w:val="es-ES"/>
        </w:rPr>
      </w:pPr>
      <w:r>
        <w:rPr>
          <w:rFonts w:ascii="Book Antiqua" w:hAnsi="Book Antiqua"/>
          <w:lang w:val="es-ES"/>
        </w:rPr>
        <w:t>Acuerdo de Pago</w:t>
      </w:r>
      <w:r w:rsidRPr="00235E90">
        <w:rPr>
          <w:rFonts w:ascii="Book Antiqua" w:hAnsi="Book Antiqua"/>
          <w:lang w:val="es-ES"/>
        </w:rPr>
        <w:t xml:space="preserve">: </w:t>
      </w:r>
      <w:r>
        <w:rPr>
          <w:rFonts w:ascii="Book Antiqua" w:hAnsi="Book Antiqua"/>
          <w:lang w:val="es-ES"/>
        </w:rPr>
        <w:t xml:space="preserve">un contrato entre el proveedor de servicios y una persona para establecer un plan de pago con el fin de saldar una deuda por concepto del servicio. </w:t>
      </w:r>
    </w:p>
    <w:p w14:paraId="40EF7456" w14:textId="480B4C93" w:rsidR="00E04A96" w:rsidRPr="00235E90" w:rsidRDefault="00E04A96" w:rsidP="0073229D">
      <w:pPr>
        <w:pStyle w:val="ListParagraph"/>
        <w:numPr>
          <w:ilvl w:val="0"/>
          <w:numId w:val="3"/>
        </w:numPr>
        <w:spacing w:line="480" w:lineRule="auto"/>
        <w:jc w:val="both"/>
        <w:rPr>
          <w:rFonts w:ascii="Book Antiqua" w:hAnsi="Book Antiqua"/>
          <w:lang w:val="es-ES"/>
        </w:rPr>
      </w:pPr>
      <w:r>
        <w:rPr>
          <w:rFonts w:ascii="Book Antiqua" w:hAnsi="Book Antiqua"/>
          <w:lang w:val="es-ES"/>
        </w:rPr>
        <w:lastRenderedPageBreak/>
        <w:t>Plan de Pago Justo</w:t>
      </w:r>
      <w:r w:rsidRPr="00235E90">
        <w:rPr>
          <w:rFonts w:ascii="Book Antiqua" w:hAnsi="Book Antiqua"/>
          <w:lang w:val="es-ES"/>
        </w:rPr>
        <w:t xml:space="preserve">: </w:t>
      </w:r>
      <w:r>
        <w:rPr>
          <w:rFonts w:ascii="Book Antiqua" w:hAnsi="Book Antiqua"/>
          <w:lang w:val="es-ES"/>
        </w:rPr>
        <w:t xml:space="preserve">un acuerdo de pago </w:t>
      </w:r>
      <w:r w:rsidR="00F130E7">
        <w:rPr>
          <w:rFonts w:ascii="Book Antiqua" w:hAnsi="Book Antiqua"/>
          <w:lang w:val="es-ES"/>
        </w:rPr>
        <w:t>que toma en</w:t>
      </w:r>
      <w:r>
        <w:rPr>
          <w:rFonts w:ascii="Book Antiqua" w:hAnsi="Book Antiqua"/>
          <w:lang w:val="es-ES"/>
        </w:rPr>
        <w:t xml:space="preserve"> consideración la capacidad de ingresos de la unidad familiar</w:t>
      </w:r>
      <w:r w:rsidRPr="00371D2D">
        <w:rPr>
          <w:rFonts w:ascii="Book Antiqua" w:hAnsi="Book Antiqua"/>
          <w:lang w:val="es-ES"/>
        </w:rPr>
        <w:t>.</w:t>
      </w:r>
      <w:r>
        <w:rPr>
          <w:rFonts w:ascii="Book Antiqua" w:hAnsi="Book Antiqua"/>
          <w:lang w:val="es-ES"/>
        </w:rPr>
        <w:t xml:space="preserve"> </w:t>
      </w:r>
    </w:p>
    <w:p w14:paraId="0D2D5584" w14:textId="77777777" w:rsidR="00AA7578" w:rsidRDefault="00235E90" w:rsidP="0073229D">
      <w:pPr>
        <w:pStyle w:val="ListParagraph"/>
        <w:numPr>
          <w:ilvl w:val="0"/>
          <w:numId w:val="3"/>
        </w:numPr>
        <w:spacing w:line="480" w:lineRule="auto"/>
        <w:jc w:val="both"/>
        <w:rPr>
          <w:rFonts w:ascii="Book Antiqua" w:hAnsi="Book Antiqua"/>
          <w:lang w:val="es-ES"/>
        </w:rPr>
      </w:pPr>
      <w:r w:rsidRPr="00AA7578">
        <w:rPr>
          <w:rFonts w:ascii="Book Antiqua" w:hAnsi="Book Antiqua"/>
          <w:lang w:val="es-ES"/>
        </w:rPr>
        <w:t xml:space="preserve">Proveedor de </w:t>
      </w:r>
      <w:r w:rsidR="00E04A96" w:rsidRPr="00AA7578">
        <w:rPr>
          <w:rFonts w:ascii="Book Antiqua" w:hAnsi="Book Antiqua"/>
          <w:lang w:val="es-ES"/>
        </w:rPr>
        <w:t>servicios</w:t>
      </w:r>
      <w:r w:rsidR="00F130E7" w:rsidRPr="00AA7578">
        <w:rPr>
          <w:rFonts w:ascii="Book Antiqua" w:hAnsi="Book Antiqua"/>
          <w:lang w:val="es-ES"/>
        </w:rPr>
        <w:t xml:space="preserve"> esenciales</w:t>
      </w:r>
      <w:r w:rsidRPr="00AA7578">
        <w:rPr>
          <w:rFonts w:ascii="Book Antiqua" w:hAnsi="Book Antiqua"/>
          <w:lang w:val="es-ES"/>
        </w:rPr>
        <w:t>: cualquier entidad autorizada</w:t>
      </w:r>
      <w:r w:rsidR="00FA4027" w:rsidRPr="00AA7578">
        <w:rPr>
          <w:rFonts w:ascii="Book Antiqua" w:hAnsi="Book Antiqua"/>
          <w:lang w:val="es-ES"/>
        </w:rPr>
        <w:t xml:space="preserve"> por el </w:t>
      </w:r>
      <w:r w:rsidR="00E04A96" w:rsidRPr="00AA7578">
        <w:rPr>
          <w:rFonts w:ascii="Book Antiqua" w:hAnsi="Book Antiqua"/>
          <w:lang w:val="es-ES"/>
        </w:rPr>
        <w:t>Gobierno de Puerto Rico a ofrecer servicios de agua potable</w:t>
      </w:r>
      <w:r w:rsidR="00661004" w:rsidRPr="00AA7578">
        <w:rPr>
          <w:rFonts w:ascii="Book Antiqua" w:hAnsi="Book Antiqua"/>
          <w:lang w:val="es-ES"/>
        </w:rPr>
        <w:t xml:space="preserve"> y</w:t>
      </w:r>
      <w:r w:rsidR="00E04A96" w:rsidRPr="00AA7578">
        <w:rPr>
          <w:rFonts w:ascii="Book Antiqua" w:hAnsi="Book Antiqua"/>
          <w:lang w:val="es-ES"/>
        </w:rPr>
        <w:t xml:space="preserve"> energía eléctrica</w:t>
      </w:r>
      <w:r w:rsidR="00661004" w:rsidRPr="00AA7578">
        <w:rPr>
          <w:rFonts w:ascii="Book Antiqua" w:hAnsi="Book Antiqua"/>
          <w:lang w:val="es-ES"/>
        </w:rPr>
        <w:t>.</w:t>
      </w:r>
      <w:r w:rsidR="00E04A96" w:rsidRPr="00AA7578">
        <w:rPr>
          <w:rFonts w:ascii="Book Antiqua" w:hAnsi="Book Antiqua"/>
          <w:lang w:val="es-ES"/>
        </w:rPr>
        <w:t xml:space="preserve"> </w:t>
      </w:r>
    </w:p>
    <w:p w14:paraId="12329CE1" w14:textId="1EFDE455" w:rsidR="00B4041D" w:rsidRPr="00AA7578" w:rsidRDefault="00B4041D" w:rsidP="0073229D">
      <w:pPr>
        <w:pStyle w:val="ListParagraph"/>
        <w:spacing w:line="480" w:lineRule="auto"/>
        <w:jc w:val="both"/>
        <w:rPr>
          <w:rFonts w:ascii="Book Antiqua" w:hAnsi="Book Antiqua"/>
          <w:lang w:val="es-ES"/>
        </w:rPr>
      </w:pPr>
      <w:r w:rsidRPr="00AA7578">
        <w:rPr>
          <w:rFonts w:ascii="Book Antiqua" w:hAnsi="Book Antiqua"/>
          <w:lang w:val="es-ES"/>
        </w:rPr>
        <w:t xml:space="preserve">Artículo 2. </w:t>
      </w:r>
      <w:r w:rsidR="00F130E7" w:rsidRPr="00AA7578">
        <w:rPr>
          <w:rFonts w:ascii="Book Antiqua" w:hAnsi="Book Antiqua"/>
          <w:lang w:val="es-ES"/>
        </w:rPr>
        <w:t>Acuerdo de Pago</w:t>
      </w:r>
      <w:r w:rsidR="001A7867" w:rsidRPr="00AA7578">
        <w:rPr>
          <w:rFonts w:ascii="Book Antiqua" w:hAnsi="Book Antiqua"/>
          <w:lang w:val="es-ES"/>
        </w:rPr>
        <w:t xml:space="preserve"> </w:t>
      </w:r>
      <w:r w:rsidR="00061087" w:rsidRPr="00AA7578">
        <w:rPr>
          <w:rFonts w:ascii="Book Antiqua" w:hAnsi="Book Antiqua"/>
          <w:lang w:val="es-ES"/>
        </w:rPr>
        <w:t xml:space="preserve"> </w:t>
      </w:r>
    </w:p>
    <w:p w14:paraId="0D45B663" w14:textId="56794065" w:rsidR="00A42BC6" w:rsidRPr="00A42BC6" w:rsidRDefault="00F130E7" w:rsidP="00A42BC6">
      <w:pPr>
        <w:spacing w:line="480" w:lineRule="auto"/>
        <w:ind w:firstLine="360"/>
        <w:jc w:val="both"/>
        <w:rPr>
          <w:rFonts w:ascii="Book Antiqua" w:hAnsi="Book Antiqua"/>
          <w:i/>
          <w:iCs/>
          <w:u w:val="single"/>
          <w:lang w:val="es-PR"/>
        </w:rPr>
      </w:pPr>
      <w:r>
        <w:rPr>
          <w:rFonts w:ascii="Book Antiqua" w:hAnsi="Book Antiqua"/>
          <w:lang w:val="es-ES"/>
        </w:rPr>
        <w:t>Los proveedores de servicios esenciales de agua potable</w:t>
      </w:r>
      <w:r w:rsidR="00661004">
        <w:rPr>
          <w:rFonts w:ascii="Book Antiqua" w:hAnsi="Book Antiqua"/>
          <w:lang w:val="es-ES"/>
        </w:rPr>
        <w:t xml:space="preserve"> y</w:t>
      </w:r>
      <w:r>
        <w:rPr>
          <w:rFonts w:ascii="Book Antiqua" w:hAnsi="Book Antiqua"/>
          <w:lang w:val="es-ES"/>
        </w:rPr>
        <w:t xml:space="preserve"> energía eléctrica</w:t>
      </w:r>
      <w:r w:rsidR="00A42BC6">
        <w:rPr>
          <w:rFonts w:ascii="Book Antiqua" w:hAnsi="Book Antiqua"/>
          <w:lang w:val="es-ES"/>
        </w:rPr>
        <w:t xml:space="preserve"> </w:t>
      </w:r>
      <w:r w:rsidR="00A42BC6">
        <w:rPr>
          <w:rFonts w:ascii="Book Antiqua" w:hAnsi="Book Antiqua"/>
          <w:i/>
          <w:iCs/>
          <w:u w:val="single"/>
          <w:lang w:val="es-ES"/>
        </w:rPr>
        <w:t>a clientes residenciales</w:t>
      </w:r>
      <w:r w:rsidR="00661004">
        <w:rPr>
          <w:rFonts w:ascii="Book Antiqua" w:hAnsi="Book Antiqua"/>
          <w:lang w:val="es-ES"/>
        </w:rPr>
        <w:t xml:space="preserve"> deben establecer </w:t>
      </w:r>
      <w:r>
        <w:rPr>
          <w:rFonts w:ascii="Book Antiqua" w:hAnsi="Book Antiqua"/>
          <w:lang w:val="es-ES"/>
        </w:rPr>
        <w:t xml:space="preserve">planes de pagos justos a los deudores. </w:t>
      </w:r>
      <w:r w:rsidR="00661004" w:rsidRPr="002B2FA2">
        <w:rPr>
          <w:rFonts w:ascii="Book Antiqua" w:hAnsi="Book Antiqua"/>
          <w:strike/>
          <w:lang w:val="es-ES"/>
        </w:rPr>
        <w:t>Para</w:t>
      </w:r>
      <w:r w:rsidR="003807C1" w:rsidRPr="002B2FA2">
        <w:rPr>
          <w:rFonts w:ascii="Book Antiqua" w:hAnsi="Book Antiqua"/>
          <w:strike/>
          <w:lang w:val="es-ES"/>
        </w:rPr>
        <w:t xml:space="preserve"> </w:t>
      </w:r>
      <w:r w:rsidR="00661004" w:rsidRPr="002B2FA2">
        <w:rPr>
          <w:rFonts w:ascii="Book Antiqua" w:hAnsi="Book Antiqua"/>
          <w:strike/>
          <w:lang w:val="es-ES"/>
        </w:rPr>
        <w:t xml:space="preserve">iniciar </w:t>
      </w:r>
      <w:r w:rsidR="003807C1" w:rsidRPr="002B2FA2">
        <w:rPr>
          <w:rFonts w:ascii="Book Antiqua" w:hAnsi="Book Antiqua"/>
          <w:strike/>
          <w:lang w:val="es-ES"/>
        </w:rPr>
        <w:t xml:space="preserve">un acuerdo de pago </w:t>
      </w:r>
      <w:r w:rsidR="00661004" w:rsidRPr="002B2FA2">
        <w:rPr>
          <w:rFonts w:ascii="Book Antiqua" w:hAnsi="Book Antiqua"/>
          <w:strike/>
          <w:lang w:val="es-ES"/>
        </w:rPr>
        <w:t>el deudor deberá pagar</w:t>
      </w:r>
      <w:r w:rsidR="003807C1" w:rsidRPr="002B2FA2">
        <w:rPr>
          <w:rFonts w:ascii="Book Antiqua" w:hAnsi="Book Antiqua"/>
          <w:strike/>
          <w:lang w:val="es-ES"/>
        </w:rPr>
        <w:t xml:space="preserve"> un máximo de </w:t>
      </w:r>
      <w:r w:rsidR="00994578" w:rsidRPr="002B2FA2">
        <w:rPr>
          <w:rFonts w:ascii="Book Antiqua" w:hAnsi="Book Antiqua"/>
          <w:strike/>
          <w:lang w:val="es-ES"/>
        </w:rPr>
        <w:t>diez</w:t>
      </w:r>
      <w:r w:rsidR="003807C1" w:rsidRPr="002B2FA2">
        <w:rPr>
          <w:rFonts w:ascii="Book Antiqua" w:hAnsi="Book Antiqua"/>
          <w:strike/>
          <w:lang w:val="es-ES"/>
        </w:rPr>
        <w:t xml:space="preserve"> (</w:t>
      </w:r>
      <w:r w:rsidR="00994578" w:rsidRPr="002B2FA2">
        <w:rPr>
          <w:rFonts w:ascii="Book Antiqua" w:hAnsi="Book Antiqua"/>
          <w:strike/>
          <w:lang w:val="es-ES"/>
        </w:rPr>
        <w:t>1</w:t>
      </w:r>
      <w:r w:rsidR="003807C1" w:rsidRPr="002B2FA2">
        <w:rPr>
          <w:rFonts w:ascii="Book Antiqua" w:hAnsi="Book Antiqua"/>
          <w:strike/>
          <w:lang w:val="es-ES"/>
        </w:rPr>
        <w:t>0) por ciento del total de la deuda.</w:t>
      </w:r>
      <w:r w:rsidR="00EE6A8E" w:rsidRPr="002B2FA2">
        <w:rPr>
          <w:rFonts w:ascii="Book Antiqua" w:hAnsi="Book Antiqua"/>
          <w:strike/>
          <w:lang w:val="es-ES"/>
        </w:rPr>
        <w:t xml:space="preserve"> </w:t>
      </w:r>
      <w:r w:rsidR="00994578" w:rsidRPr="002B2FA2">
        <w:rPr>
          <w:rFonts w:ascii="Book Antiqua" w:hAnsi="Book Antiqua"/>
          <w:strike/>
          <w:lang w:val="es-ES"/>
        </w:rPr>
        <w:t>La cantidad mensual para amortizar la deuda no será mayor de cien dólares ($100.00).</w:t>
      </w:r>
      <w:r w:rsidR="002B2FA2">
        <w:rPr>
          <w:rFonts w:ascii="Book Antiqua" w:hAnsi="Book Antiqua"/>
          <w:strike/>
          <w:lang w:val="es-ES"/>
        </w:rPr>
        <w:t xml:space="preserve"> </w:t>
      </w:r>
      <w:r w:rsidR="0022297F">
        <w:rPr>
          <w:rFonts w:ascii="Book Antiqua" w:hAnsi="Book Antiqua"/>
          <w:lang w:val="es-PR"/>
        </w:rPr>
        <w:t xml:space="preserve"> </w:t>
      </w:r>
      <w:r w:rsidR="002B2FA2" w:rsidRPr="0022297F">
        <w:rPr>
          <w:rFonts w:ascii="Book Antiqua" w:hAnsi="Book Antiqua"/>
          <w:i/>
          <w:iCs/>
          <w:u w:val="single"/>
          <w:lang w:val="es-PR"/>
        </w:rPr>
        <w:t>El pago inicial y la mensualidad de un Plan de Pago Justo se determinarán tomando en consideración la capacidad económica de la unidad familiar, con un mínimo del cinco (5) por ciento y un máximo del veinte (20) por ciento de la deuda inicial, y mensualidades no mayores del cinco (5) por ciento del ingreso mensual familiar declarado.</w:t>
      </w:r>
      <w:r w:rsidR="00A42BC6">
        <w:rPr>
          <w:rFonts w:ascii="Book Antiqua" w:hAnsi="Book Antiqua"/>
          <w:i/>
          <w:iCs/>
          <w:u w:val="single"/>
          <w:lang w:val="es-PR"/>
        </w:rPr>
        <w:t xml:space="preserve"> </w:t>
      </w:r>
    </w:p>
    <w:p w14:paraId="2B27E9C3" w14:textId="4F536B29" w:rsidR="00E4546F" w:rsidRPr="00A42BC6" w:rsidRDefault="00E4546F" w:rsidP="0073229D">
      <w:pPr>
        <w:spacing w:line="480" w:lineRule="auto"/>
        <w:ind w:firstLine="360"/>
        <w:jc w:val="both"/>
        <w:rPr>
          <w:rFonts w:ascii="Book Antiqua" w:hAnsi="Book Antiqua"/>
          <w:lang w:val="es-ES"/>
        </w:rPr>
      </w:pPr>
      <w:r>
        <w:rPr>
          <w:rFonts w:ascii="Book Antiqua" w:hAnsi="Book Antiqua"/>
          <w:lang w:val="es-ES"/>
        </w:rPr>
        <w:t>Se prohíbe el cobro de interés por concepto del plan de pago</w:t>
      </w:r>
      <w:r w:rsidR="00994578">
        <w:rPr>
          <w:rFonts w:ascii="Book Antiqua" w:hAnsi="Book Antiqua"/>
          <w:lang w:val="es-ES"/>
        </w:rPr>
        <w:t xml:space="preserve"> en deudas menor de </w:t>
      </w:r>
      <w:r w:rsidR="00994578" w:rsidRPr="00724867">
        <w:rPr>
          <w:rFonts w:ascii="Book Antiqua" w:hAnsi="Book Antiqua"/>
          <w:strike/>
          <w:lang w:val="es-ES"/>
        </w:rPr>
        <w:t>diez mil dólares ($10,000.00)</w:t>
      </w:r>
      <w:r w:rsidR="00A42BC6">
        <w:rPr>
          <w:rFonts w:ascii="Book Antiqua" w:hAnsi="Book Antiqua"/>
          <w:strike/>
          <w:lang w:val="es-ES"/>
        </w:rPr>
        <w:t xml:space="preserve"> </w:t>
      </w:r>
      <w:r w:rsidR="001D13EE" w:rsidRPr="001D13EE">
        <w:rPr>
          <w:rFonts w:ascii="Book Antiqua" w:hAnsi="Book Antiqua"/>
          <w:i/>
          <w:iCs/>
          <w:u w:val="single"/>
          <w:lang w:val="es-ES"/>
        </w:rPr>
        <w:t>cinco mil dólares ($5,000.00)</w:t>
      </w:r>
      <w:r w:rsidR="00A42BC6">
        <w:rPr>
          <w:rFonts w:ascii="Book Antiqua" w:hAnsi="Book Antiqua"/>
          <w:lang w:val="es-ES"/>
        </w:rPr>
        <w:t>.</w:t>
      </w:r>
    </w:p>
    <w:p w14:paraId="25366CF7" w14:textId="57F40042" w:rsidR="002B210B" w:rsidRPr="002B210B" w:rsidRDefault="002B210B" w:rsidP="0073229D">
      <w:pPr>
        <w:spacing w:line="480" w:lineRule="auto"/>
        <w:ind w:firstLine="360"/>
        <w:jc w:val="both"/>
        <w:rPr>
          <w:rFonts w:ascii="Book Antiqua" w:hAnsi="Book Antiqua"/>
          <w:i/>
          <w:iCs/>
          <w:u w:val="single"/>
          <w:lang w:val="es-PR"/>
        </w:rPr>
      </w:pPr>
      <w:r w:rsidRPr="002B210B">
        <w:rPr>
          <w:rFonts w:ascii="Book Antiqua" w:hAnsi="Book Antiqua"/>
          <w:i/>
          <w:iCs/>
          <w:u w:val="single"/>
          <w:lang w:val="es-PR"/>
        </w:rPr>
        <w:t>Los planes de pago establecidos al amparo de esta Ley se implementarán conforme a los reglamentos aplicables de la Autoridad de Acueductos y Alcantarillados o del concesionario de energía eléctrica, según corresponda, y tomando en consideración la capacidad económica del abonado, sin menoscabar las obligaciones fiscales, contractuales y operacionales establecidas en el Plan Fiscal certificado por la Junta de Supervisión Fiscal bajo la Ley PROMESA.</w:t>
      </w:r>
    </w:p>
    <w:p w14:paraId="275541D4" w14:textId="366157A7" w:rsidR="00122FE3" w:rsidRDefault="00122FE3" w:rsidP="0073229D">
      <w:pPr>
        <w:spacing w:line="480" w:lineRule="auto"/>
        <w:ind w:firstLine="360"/>
        <w:jc w:val="both"/>
        <w:rPr>
          <w:rFonts w:ascii="Book Antiqua" w:hAnsi="Book Antiqua"/>
          <w:lang w:val="es-ES"/>
        </w:rPr>
      </w:pPr>
      <w:r>
        <w:rPr>
          <w:rFonts w:ascii="Book Antiqua" w:hAnsi="Book Antiqua"/>
          <w:lang w:val="es-ES"/>
        </w:rPr>
        <w:t xml:space="preserve">Artículo </w:t>
      </w:r>
      <w:r w:rsidR="00994578">
        <w:rPr>
          <w:rFonts w:ascii="Book Antiqua" w:hAnsi="Book Antiqua"/>
          <w:lang w:val="es-ES"/>
        </w:rPr>
        <w:t>3</w:t>
      </w:r>
      <w:r>
        <w:rPr>
          <w:rFonts w:ascii="Book Antiqua" w:hAnsi="Book Antiqua"/>
          <w:lang w:val="es-ES"/>
        </w:rPr>
        <w:t>.</w:t>
      </w:r>
      <w:r w:rsidR="0073229D">
        <w:rPr>
          <w:rFonts w:ascii="Book Antiqua" w:hAnsi="Book Antiqua"/>
          <w:lang w:val="es-ES"/>
        </w:rPr>
        <w:t>-</w:t>
      </w:r>
      <w:r w:rsidR="0054353E">
        <w:rPr>
          <w:rFonts w:ascii="Book Antiqua" w:hAnsi="Book Antiqua"/>
          <w:lang w:val="es-ES"/>
        </w:rPr>
        <w:t>Evidencia de Ingresos</w:t>
      </w:r>
    </w:p>
    <w:p w14:paraId="20041692" w14:textId="11CFC144" w:rsidR="0054353E" w:rsidRDefault="0054353E" w:rsidP="0073229D">
      <w:pPr>
        <w:spacing w:line="480" w:lineRule="auto"/>
        <w:ind w:firstLine="360"/>
        <w:jc w:val="both"/>
        <w:rPr>
          <w:rFonts w:ascii="Book Antiqua" w:hAnsi="Book Antiqua"/>
          <w:lang w:val="es-ES"/>
        </w:rPr>
      </w:pPr>
      <w:r>
        <w:rPr>
          <w:rFonts w:ascii="Book Antiqua" w:hAnsi="Book Antiqua"/>
          <w:lang w:val="es-ES"/>
        </w:rPr>
        <w:lastRenderedPageBreak/>
        <w:t xml:space="preserve">El proveedor de servicio podrá requerir evidencia de ingresos para determinar </w:t>
      </w:r>
      <w:r w:rsidR="00994578">
        <w:rPr>
          <w:rFonts w:ascii="Book Antiqua" w:hAnsi="Book Antiqua"/>
          <w:lang w:val="es-ES"/>
        </w:rPr>
        <w:t>el</w:t>
      </w:r>
      <w:r>
        <w:rPr>
          <w:rFonts w:ascii="Book Antiqua" w:hAnsi="Book Antiqua"/>
          <w:lang w:val="es-ES"/>
        </w:rPr>
        <w:t xml:space="preserve"> pago de la deuda conforme </w:t>
      </w:r>
      <w:r w:rsidR="00994578">
        <w:rPr>
          <w:rFonts w:ascii="Book Antiqua" w:hAnsi="Book Antiqua"/>
          <w:lang w:val="es-ES"/>
        </w:rPr>
        <w:t>a sus</w:t>
      </w:r>
      <w:r>
        <w:rPr>
          <w:rFonts w:ascii="Book Antiqua" w:hAnsi="Book Antiqua"/>
          <w:lang w:val="es-ES"/>
        </w:rPr>
        <w:t xml:space="preserve"> ingresos. Será suficiente presentar la siguiente evidencia de ingresos: (1) planilla de contribución sobre ingresos; (2) talonarios; (3) certificación bajo juramento del patrono de la persona. </w:t>
      </w:r>
    </w:p>
    <w:p w14:paraId="0A6F00D4" w14:textId="78A2256A" w:rsidR="00E95628" w:rsidRPr="00341A07" w:rsidRDefault="00122FE3" w:rsidP="0073229D">
      <w:pPr>
        <w:spacing w:line="480" w:lineRule="auto"/>
        <w:ind w:firstLine="360"/>
        <w:jc w:val="both"/>
        <w:rPr>
          <w:rFonts w:ascii="Book Antiqua" w:hAnsi="Book Antiqua"/>
          <w:lang w:val="es-ES"/>
        </w:rPr>
      </w:pPr>
      <w:r>
        <w:rPr>
          <w:rFonts w:ascii="Book Antiqua" w:hAnsi="Book Antiqua"/>
          <w:lang w:val="es-ES"/>
        </w:rPr>
        <w:t xml:space="preserve">Artículo </w:t>
      </w:r>
      <w:r w:rsidR="00994578">
        <w:rPr>
          <w:rFonts w:ascii="Book Antiqua" w:hAnsi="Book Antiqua"/>
          <w:lang w:val="es-ES"/>
        </w:rPr>
        <w:t>4</w:t>
      </w:r>
      <w:r>
        <w:rPr>
          <w:rFonts w:ascii="Book Antiqua" w:hAnsi="Book Antiqua"/>
          <w:lang w:val="es-ES"/>
        </w:rPr>
        <w:t>.</w:t>
      </w:r>
      <w:r w:rsidR="0073229D">
        <w:rPr>
          <w:rFonts w:ascii="Book Antiqua" w:hAnsi="Book Antiqua"/>
          <w:lang w:val="es-ES"/>
        </w:rPr>
        <w:t>-</w:t>
      </w:r>
      <w:r w:rsidR="00E95628" w:rsidRPr="00402204">
        <w:rPr>
          <w:rFonts w:ascii="Book Antiqua" w:hAnsi="Book Antiqua"/>
          <w:szCs w:val="18"/>
          <w:lang w:val="es-PR"/>
        </w:rPr>
        <w:t>Violaciones a la Ley;</w:t>
      </w:r>
      <w:r w:rsidR="00E95628">
        <w:rPr>
          <w:rFonts w:ascii="Book Antiqua" w:hAnsi="Book Antiqua"/>
          <w:szCs w:val="18"/>
          <w:lang w:val="es-PR"/>
        </w:rPr>
        <w:t xml:space="preserve"> </w:t>
      </w:r>
      <w:r w:rsidR="00E95628" w:rsidRPr="00D21A2D">
        <w:rPr>
          <w:rFonts w:ascii="Book Antiqua" w:hAnsi="Book Antiqua"/>
          <w:strike/>
          <w:szCs w:val="18"/>
          <w:lang w:val="es-PR"/>
        </w:rPr>
        <w:t>disposiciones aplicables</w:t>
      </w:r>
      <w:r w:rsidR="00916688">
        <w:rPr>
          <w:rFonts w:ascii="Book Antiqua" w:hAnsi="Book Antiqua"/>
          <w:strike/>
          <w:szCs w:val="18"/>
          <w:lang w:val="es-PR"/>
        </w:rPr>
        <w:t xml:space="preserve"> </w:t>
      </w:r>
      <w:r w:rsidR="00916688" w:rsidRPr="00916688">
        <w:rPr>
          <w:rFonts w:ascii="Book Antiqua" w:hAnsi="Book Antiqua"/>
          <w:i/>
          <w:iCs/>
          <w:szCs w:val="18"/>
          <w:u w:val="single"/>
          <w:lang w:val="es-PR"/>
        </w:rPr>
        <w:t>revisión administrativa</w:t>
      </w:r>
    </w:p>
    <w:p w14:paraId="066C591A" w14:textId="2EDD0B64" w:rsidR="0021135E" w:rsidRPr="0022297F" w:rsidRDefault="0021135E" w:rsidP="0073229D">
      <w:pPr>
        <w:spacing w:line="480" w:lineRule="auto"/>
        <w:ind w:firstLine="360"/>
        <w:jc w:val="both"/>
        <w:rPr>
          <w:rFonts w:ascii="Book Antiqua" w:hAnsi="Book Antiqua"/>
          <w:strike/>
          <w:lang w:val="es-ES"/>
        </w:rPr>
      </w:pPr>
      <w:r w:rsidRPr="0022297F">
        <w:rPr>
          <w:rFonts w:ascii="Book Antiqua" w:hAnsi="Book Antiqua"/>
          <w:strike/>
          <w:lang w:val="es-ES"/>
        </w:rPr>
        <w:t xml:space="preserve">Cualquier persona que alegue una violación a esta Ley podrá instar </w:t>
      </w:r>
      <w:r w:rsidR="00972E3F" w:rsidRPr="0022297F">
        <w:rPr>
          <w:rFonts w:ascii="Book Antiqua" w:hAnsi="Book Antiqua"/>
          <w:strike/>
          <w:lang w:val="es-ES"/>
        </w:rPr>
        <w:t xml:space="preserve">un interdicto contra el proveedor de servicio para que cumpla con los requisitos de esta Ley. Además, podrá instar </w:t>
      </w:r>
      <w:r w:rsidRPr="0022297F">
        <w:rPr>
          <w:rFonts w:ascii="Book Antiqua" w:hAnsi="Book Antiqua"/>
          <w:strike/>
          <w:lang w:val="es-ES"/>
        </w:rPr>
        <w:t xml:space="preserve">una acción civil en contra </w:t>
      </w:r>
      <w:r w:rsidR="00972E3F" w:rsidRPr="0022297F">
        <w:rPr>
          <w:rFonts w:ascii="Book Antiqua" w:hAnsi="Book Antiqua"/>
          <w:strike/>
          <w:lang w:val="es-ES"/>
        </w:rPr>
        <w:t>del proveedor de servicio</w:t>
      </w:r>
      <w:r w:rsidRPr="0022297F">
        <w:rPr>
          <w:rFonts w:ascii="Book Antiqua" w:hAnsi="Book Antiqua"/>
          <w:strike/>
          <w:lang w:val="es-ES"/>
        </w:rPr>
        <w:t xml:space="preserve"> dentro de tres (3) años de la fecha en que ocurrió dicha violación y solicitar se le compense por los daños sufridos. Se establece una penalidad equivalente al doble de importe de los daños. </w:t>
      </w:r>
    </w:p>
    <w:p w14:paraId="54D7EFB7" w14:textId="701A1671" w:rsidR="00341A07" w:rsidRPr="0022297F" w:rsidRDefault="00341A07" w:rsidP="0073229D">
      <w:pPr>
        <w:spacing w:line="480" w:lineRule="auto"/>
        <w:ind w:firstLine="360"/>
        <w:jc w:val="both"/>
        <w:rPr>
          <w:rFonts w:ascii="Book Antiqua" w:hAnsi="Book Antiqua"/>
          <w:strike/>
          <w:lang w:val="es-ES"/>
        </w:rPr>
      </w:pPr>
      <w:r w:rsidRPr="0022297F">
        <w:rPr>
          <w:rFonts w:ascii="Book Antiqua" w:hAnsi="Book Antiqua"/>
          <w:strike/>
          <w:color w:val="000000"/>
          <w:szCs w:val="24"/>
          <w:lang w:val="es-PR"/>
        </w:rPr>
        <w:t xml:space="preserve">Cualquier persona que ocupe un cargo de dirección, administración o decisión dentro de la estructura de </w:t>
      </w:r>
      <w:r w:rsidR="00972E3F" w:rsidRPr="0022297F">
        <w:rPr>
          <w:rFonts w:ascii="Book Antiqua" w:hAnsi="Book Antiqua"/>
          <w:strike/>
          <w:color w:val="000000"/>
          <w:szCs w:val="24"/>
          <w:lang w:val="es-PR"/>
        </w:rPr>
        <w:t>un proveedor de servicios</w:t>
      </w:r>
      <w:r w:rsidRPr="0022297F">
        <w:rPr>
          <w:rFonts w:ascii="Book Antiqua" w:hAnsi="Book Antiqua"/>
          <w:strike/>
          <w:color w:val="000000"/>
          <w:szCs w:val="24"/>
          <w:lang w:val="es-PR"/>
        </w:rPr>
        <w:t xml:space="preserve"> que autorice, consienta, participe o de cualquier manera se involucre en </w:t>
      </w:r>
      <w:r w:rsidR="00972E3F" w:rsidRPr="0022297F">
        <w:rPr>
          <w:rFonts w:ascii="Book Antiqua" w:hAnsi="Book Antiqua"/>
          <w:strike/>
          <w:color w:val="000000"/>
          <w:szCs w:val="24"/>
          <w:lang w:val="es-PR"/>
        </w:rPr>
        <w:t>negar un acuerdo de pago conforme los requisitos aquí establecidos y</w:t>
      </w:r>
      <w:r w:rsidR="009D051D" w:rsidRPr="0022297F">
        <w:rPr>
          <w:rFonts w:ascii="Book Antiqua" w:hAnsi="Book Antiqua"/>
          <w:strike/>
          <w:color w:val="000000"/>
          <w:szCs w:val="24"/>
          <w:lang w:val="es-PR"/>
        </w:rPr>
        <w:t xml:space="preserve"> </w:t>
      </w:r>
      <w:r w:rsidR="00122FE3" w:rsidRPr="0022297F">
        <w:rPr>
          <w:rFonts w:ascii="Book Antiqua" w:hAnsi="Book Antiqua"/>
          <w:strike/>
          <w:color w:val="000000"/>
          <w:szCs w:val="24"/>
          <w:lang w:val="es-PR"/>
        </w:rPr>
        <w:t>en incumplimiento con esta Ley</w:t>
      </w:r>
      <w:r w:rsidR="009D051D" w:rsidRPr="0022297F">
        <w:rPr>
          <w:rFonts w:ascii="Book Antiqua" w:hAnsi="Book Antiqua"/>
          <w:strike/>
          <w:color w:val="000000"/>
          <w:szCs w:val="24"/>
          <w:lang w:val="es-PR"/>
        </w:rPr>
        <w:t xml:space="preserve"> </w:t>
      </w:r>
      <w:r w:rsidR="00122FE3" w:rsidRPr="0022297F">
        <w:rPr>
          <w:rFonts w:ascii="Book Antiqua" w:hAnsi="Book Antiqua"/>
          <w:strike/>
          <w:color w:val="000000"/>
          <w:szCs w:val="24"/>
          <w:lang w:val="es-PR"/>
        </w:rPr>
        <w:t>se le impondrá</w:t>
      </w:r>
      <w:r w:rsidR="009D051D" w:rsidRPr="0022297F">
        <w:rPr>
          <w:rFonts w:ascii="Book Antiqua" w:hAnsi="Book Antiqua"/>
          <w:strike/>
          <w:color w:val="000000"/>
          <w:szCs w:val="24"/>
          <w:lang w:val="es-PR"/>
        </w:rPr>
        <w:t xml:space="preserve"> una multa </w:t>
      </w:r>
      <w:r w:rsidR="009D051D" w:rsidRPr="0022297F">
        <w:rPr>
          <w:rFonts w:ascii="Book Antiqua" w:hAnsi="Book Antiqua"/>
          <w:strike/>
          <w:lang w:val="es-ES"/>
        </w:rPr>
        <w:t xml:space="preserve">que no excederá de diez mil (10,000) dólares. </w:t>
      </w:r>
    </w:p>
    <w:p w14:paraId="4909D62A" w14:textId="089D112E" w:rsidR="0021135E" w:rsidRDefault="0021135E" w:rsidP="0073229D">
      <w:pPr>
        <w:spacing w:line="480" w:lineRule="auto"/>
        <w:ind w:firstLine="360"/>
        <w:jc w:val="both"/>
        <w:rPr>
          <w:rFonts w:ascii="Book Antiqua" w:hAnsi="Book Antiqua"/>
          <w:strike/>
          <w:lang w:val="es-ES"/>
        </w:rPr>
      </w:pPr>
      <w:r w:rsidRPr="0022297F">
        <w:rPr>
          <w:rFonts w:ascii="Book Antiqua" w:hAnsi="Book Antiqua"/>
          <w:strike/>
          <w:lang w:val="es-ES"/>
        </w:rPr>
        <w:t xml:space="preserve">El Tribunal de Primera Instancia de Puerto Rico tendrá jurisdicción exclusiva para adjudicar violaciones a esta Ley. </w:t>
      </w:r>
    </w:p>
    <w:p w14:paraId="0BCE9105" w14:textId="77777777" w:rsidR="00C71A44" w:rsidRPr="00C71A44" w:rsidRDefault="00C71A44" w:rsidP="00C71A44">
      <w:pPr>
        <w:spacing w:line="480" w:lineRule="auto"/>
        <w:ind w:firstLine="360"/>
        <w:jc w:val="both"/>
        <w:rPr>
          <w:rFonts w:ascii="Book Antiqua" w:hAnsi="Book Antiqua"/>
          <w:i/>
          <w:iCs/>
          <w:u w:val="single"/>
          <w:lang w:val="es-PR"/>
        </w:rPr>
      </w:pPr>
      <w:r w:rsidRPr="00C71A44">
        <w:rPr>
          <w:rFonts w:ascii="Book Antiqua" w:hAnsi="Book Antiqua"/>
          <w:i/>
          <w:iCs/>
          <w:u w:val="single"/>
          <w:lang w:val="es-PR"/>
        </w:rPr>
        <w:t>Cualquier abonado que entienda que el plan de pago concedido por el proveedor de servicios esenciales no cumple con lo dispuesto en esta Ley podrá presentar una solicitud de revisión administrativa ante el propio proveedor de servicios o ante el Departamento de Asuntos del Consumidor (DACO).</w:t>
      </w:r>
    </w:p>
    <w:p w14:paraId="0E9E32E1" w14:textId="77777777" w:rsidR="00C71A44" w:rsidRPr="00C71A44" w:rsidRDefault="00C71A44" w:rsidP="00C71A44">
      <w:pPr>
        <w:spacing w:line="480" w:lineRule="auto"/>
        <w:ind w:firstLine="360"/>
        <w:jc w:val="both"/>
        <w:rPr>
          <w:rFonts w:ascii="Book Antiqua" w:hAnsi="Book Antiqua"/>
          <w:i/>
          <w:iCs/>
          <w:u w:val="single"/>
          <w:lang w:val="es-PR"/>
        </w:rPr>
      </w:pPr>
      <w:r w:rsidRPr="00C71A44">
        <w:rPr>
          <w:rFonts w:ascii="Book Antiqua" w:hAnsi="Book Antiqua"/>
          <w:i/>
          <w:iCs/>
          <w:u w:val="single"/>
          <w:lang w:val="es-PR"/>
        </w:rPr>
        <w:lastRenderedPageBreak/>
        <w:t>El procedimiento de revisión deberá ser sencillo, ágil y accesible para el abonado, garantizando su derecho a ser oído y a someter la evidencia que estime pertinente. La determinación administrativa deberá ser emitida en un término no mayor de treinta (30) días, contados a partir de la presentación de la solicitud.</w:t>
      </w:r>
    </w:p>
    <w:p w14:paraId="66128ED8" w14:textId="77777777" w:rsidR="00C71A44" w:rsidRPr="00C71A44" w:rsidRDefault="00C71A44" w:rsidP="00C71A44">
      <w:pPr>
        <w:spacing w:line="480" w:lineRule="auto"/>
        <w:ind w:firstLine="360"/>
        <w:jc w:val="both"/>
        <w:rPr>
          <w:rFonts w:ascii="Book Antiqua" w:hAnsi="Book Antiqua"/>
          <w:i/>
          <w:iCs/>
          <w:u w:val="single"/>
          <w:lang w:val="es-PR"/>
        </w:rPr>
      </w:pPr>
      <w:r w:rsidRPr="00C71A44">
        <w:rPr>
          <w:rFonts w:ascii="Book Antiqua" w:hAnsi="Book Antiqua"/>
          <w:i/>
          <w:iCs/>
          <w:u w:val="single"/>
          <w:lang w:val="es-PR"/>
        </w:rPr>
        <w:t>La decisión que emita el proveedor de servicios o DACO será revisable únicamente mediante recurso de revisión judicial, conforme las disposiciones de la Ley de Procedimiento Administrativo Uniforme del Gobierno de Puerto Rico.</w:t>
      </w:r>
    </w:p>
    <w:p w14:paraId="701FAD18" w14:textId="5203F666" w:rsidR="00C71A44" w:rsidRPr="0022297F" w:rsidRDefault="00C71A44" w:rsidP="0073229D">
      <w:pPr>
        <w:spacing w:line="480" w:lineRule="auto"/>
        <w:ind w:firstLine="360"/>
        <w:jc w:val="both"/>
        <w:rPr>
          <w:rFonts w:ascii="Book Antiqua" w:hAnsi="Book Antiqua"/>
          <w:strike/>
          <w:lang w:val="es-ES"/>
        </w:rPr>
      </w:pPr>
      <w:r w:rsidRPr="00C71A44">
        <w:rPr>
          <w:rFonts w:ascii="Book Antiqua" w:hAnsi="Book Antiqua"/>
          <w:i/>
          <w:iCs/>
          <w:u w:val="single"/>
          <w:lang w:val="es-PR"/>
        </w:rPr>
        <w:t>No procederán acciones de interdicto, ni la reclamación de daños punitivos o de doble indemnización contra el proveedor de servicios o sus funcionarios por los asuntos atendidos bajo este mecanismo.</w:t>
      </w:r>
    </w:p>
    <w:p w14:paraId="5B944B4F" w14:textId="2B6F1DEB" w:rsidR="008F4AFB" w:rsidRPr="00E31F51" w:rsidRDefault="008F4AFB" w:rsidP="0073229D">
      <w:pPr>
        <w:spacing w:line="480" w:lineRule="auto"/>
        <w:ind w:firstLine="720"/>
        <w:jc w:val="both"/>
        <w:rPr>
          <w:rFonts w:ascii="Book Antiqua" w:hAnsi="Book Antiqua"/>
          <w:lang w:val="es-ES"/>
        </w:rPr>
      </w:pPr>
      <w:r w:rsidRPr="00E31F51">
        <w:rPr>
          <w:rFonts w:ascii="Book Antiqua" w:hAnsi="Book Antiqua"/>
          <w:lang w:val="es-ES"/>
        </w:rPr>
        <w:t xml:space="preserve">Artículo </w:t>
      </w:r>
      <w:r w:rsidR="00994578">
        <w:rPr>
          <w:rFonts w:ascii="Book Antiqua" w:hAnsi="Book Antiqua"/>
          <w:lang w:val="es-ES"/>
        </w:rPr>
        <w:t>5</w:t>
      </w:r>
      <w:r w:rsidRPr="00E31F51">
        <w:rPr>
          <w:rFonts w:ascii="Book Antiqua" w:hAnsi="Book Antiqua"/>
          <w:lang w:val="es-ES"/>
        </w:rPr>
        <w:t>.-Separabilidad</w:t>
      </w:r>
    </w:p>
    <w:p w14:paraId="5E11294B" w14:textId="77777777" w:rsidR="008F4AFB" w:rsidRPr="00E31F51" w:rsidRDefault="008F4AFB" w:rsidP="0073229D">
      <w:pPr>
        <w:spacing w:line="480" w:lineRule="auto"/>
        <w:ind w:firstLine="720"/>
        <w:jc w:val="both"/>
        <w:rPr>
          <w:rFonts w:ascii="Book Antiqua" w:hAnsi="Book Antiqua"/>
          <w:lang w:val="es-ES"/>
        </w:rPr>
      </w:pPr>
      <w:r w:rsidRPr="00E31F51">
        <w:rPr>
          <w:rFonts w:ascii="Book Antiqua" w:hAnsi="Book Antiqua"/>
          <w:lang w:val="es-ES"/>
        </w:rPr>
        <w:t>Si alguna cláusula, párrafo, artículo, o parte de esta Ley fuera declarada nula o inconstitucional por un tribunal con jurisdicción competente, tal sentencia o resolución dictada al efecto, no invalidará las demás disposiciones de esta Ley.</w:t>
      </w:r>
    </w:p>
    <w:p w14:paraId="07B74C14" w14:textId="3B8603B5" w:rsidR="008F4AFB" w:rsidRPr="00E31F51" w:rsidRDefault="008F4AFB" w:rsidP="0073229D">
      <w:pPr>
        <w:spacing w:line="480" w:lineRule="auto"/>
        <w:ind w:firstLine="720"/>
        <w:jc w:val="both"/>
        <w:rPr>
          <w:rFonts w:ascii="Book Antiqua" w:hAnsi="Book Antiqua"/>
          <w:lang w:val="es-ES"/>
        </w:rPr>
      </w:pPr>
      <w:r w:rsidRPr="00E31F51">
        <w:rPr>
          <w:rFonts w:ascii="Book Antiqua" w:hAnsi="Book Antiqua"/>
          <w:lang w:val="es-ES"/>
        </w:rPr>
        <w:t xml:space="preserve">Artículo </w:t>
      </w:r>
      <w:r w:rsidR="00994578">
        <w:rPr>
          <w:rFonts w:ascii="Book Antiqua" w:hAnsi="Book Antiqua"/>
          <w:lang w:val="es-ES"/>
        </w:rPr>
        <w:t>6</w:t>
      </w:r>
      <w:r w:rsidRPr="00E31F51">
        <w:rPr>
          <w:rFonts w:ascii="Book Antiqua" w:hAnsi="Book Antiqua"/>
          <w:lang w:val="es-ES"/>
        </w:rPr>
        <w:t>.-Vigencia</w:t>
      </w:r>
    </w:p>
    <w:p w14:paraId="75220025" w14:textId="45090D10" w:rsidR="008F4AFB" w:rsidRPr="00E31F51" w:rsidRDefault="00A61CDD" w:rsidP="0073229D">
      <w:pPr>
        <w:spacing w:line="480" w:lineRule="auto"/>
        <w:ind w:firstLine="720"/>
        <w:jc w:val="both"/>
        <w:rPr>
          <w:rFonts w:ascii="Book Antiqua" w:hAnsi="Book Antiqua"/>
          <w:lang w:val="es-ES"/>
        </w:rPr>
      </w:pPr>
      <w:r w:rsidRPr="00E31F51">
        <w:rPr>
          <w:rFonts w:ascii="Book Antiqua" w:hAnsi="Book Antiqua"/>
          <w:lang w:val="es-ES"/>
        </w:rPr>
        <w:t>Esta ley entrará en vigor inmediatamente tras su aprobación</w:t>
      </w:r>
      <w:r w:rsidR="00122FE3">
        <w:rPr>
          <w:rFonts w:ascii="Book Antiqua" w:hAnsi="Book Antiqua"/>
          <w:lang w:val="es-ES"/>
        </w:rPr>
        <w:t xml:space="preserve">. </w:t>
      </w:r>
    </w:p>
    <w:sectPr w:rsidR="008F4AFB" w:rsidRPr="00E31F51" w:rsidSect="00EB7711">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A0E0" w14:textId="77777777" w:rsidR="000A38A7" w:rsidRDefault="000A38A7">
      <w:r>
        <w:separator/>
      </w:r>
    </w:p>
  </w:endnote>
  <w:endnote w:type="continuationSeparator" w:id="0">
    <w:p w14:paraId="18D2C37A" w14:textId="77777777" w:rsidR="000A38A7" w:rsidRDefault="000A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w1)">
    <w:altName w:val="Times New Roman"/>
    <w:panose1 w:val="00000000000000000000"/>
    <w:charset w:val="00"/>
    <w:family w:val="roman"/>
    <w:notTrueType/>
    <w:pitch w:val="default"/>
    <w:sig w:usb0="77BC919B" w:usb1="001E2E68" w:usb2="00000008" w:usb3="001E2E68" w:csb0="00000009" w:csb1="0000002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FE89" w14:textId="77777777" w:rsidR="000A38A7" w:rsidRDefault="000A38A7">
      <w:r>
        <w:separator/>
      </w:r>
    </w:p>
  </w:footnote>
  <w:footnote w:type="continuationSeparator" w:id="0">
    <w:p w14:paraId="71F6324B" w14:textId="77777777" w:rsidR="000A38A7" w:rsidRDefault="000A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C918" w14:textId="77777777"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3267" w14:textId="1AF48022" w:rsidR="002B2FA2" w:rsidRPr="002B2FA2" w:rsidRDefault="002B2FA2" w:rsidP="002B2FA2">
    <w:pPr>
      <w:tabs>
        <w:tab w:val="center" w:pos="4320"/>
        <w:tab w:val="right" w:pos="7920"/>
        <w:tab w:val="right" w:pos="8640"/>
      </w:tabs>
      <w:jc w:val="center"/>
      <w:rPr>
        <w:lang w:val="x-none" w:eastAsia="ja-JP"/>
      </w:rPr>
    </w:pPr>
    <w:r w:rsidRPr="002B2FA2">
      <w:rPr>
        <w:lang w:eastAsia="ja-JP"/>
      </w:rPr>
      <w:t>ENTIRILLADO ELECTR</w:t>
    </w:r>
    <w:r w:rsidR="00B52752">
      <w:rPr>
        <w:lang w:eastAsia="ja-JP"/>
      </w:rPr>
      <w:t>Ó</w:t>
    </w:r>
    <w:r w:rsidRPr="002B2FA2">
      <w:rPr>
        <w:lang w:eastAsia="ja-JP"/>
      </w:rPr>
      <w:t>NICO</w:t>
    </w:r>
  </w:p>
  <w:p w14:paraId="2E604480" w14:textId="77777777" w:rsidR="002B2FA2" w:rsidRDefault="002B2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339CF"/>
    <w:multiLevelType w:val="hybridMultilevel"/>
    <w:tmpl w:val="E30AB67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64EB5182"/>
    <w:multiLevelType w:val="hybridMultilevel"/>
    <w:tmpl w:val="105C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E63E9"/>
    <w:multiLevelType w:val="hybridMultilevel"/>
    <w:tmpl w:val="433CD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7856001">
    <w:abstractNumId w:val="0"/>
  </w:num>
  <w:num w:numId="2" w16cid:durableId="932199577">
    <w:abstractNumId w:val="2"/>
  </w:num>
  <w:num w:numId="3" w16cid:durableId="211644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905CF6"/>
    <w:rsid w:val="000141DA"/>
    <w:rsid w:val="00020BBB"/>
    <w:rsid w:val="00056024"/>
    <w:rsid w:val="00061087"/>
    <w:rsid w:val="00061384"/>
    <w:rsid w:val="000622A3"/>
    <w:rsid w:val="0007320A"/>
    <w:rsid w:val="00080CCA"/>
    <w:rsid w:val="00095AE1"/>
    <w:rsid w:val="000A38A7"/>
    <w:rsid w:val="000A691C"/>
    <w:rsid w:val="000A6B6C"/>
    <w:rsid w:val="000B0DBB"/>
    <w:rsid w:val="000C7788"/>
    <w:rsid w:val="000E36D6"/>
    <w:rsid w:val="000F6622"/>
    <w:rsid w:val="00104D57"/>
    <w:rsid w:val="00111E71"/>
    <w:rsid w:val="00122FE3"/>
    <w:rsid w:val="00127C6A"/>
    <w:rsid w:val="001363FE"/>
    <w:rsid w:val="00140964"/>
    <w:rsid w:val="0014106A"/>
    <w:rsid w:val="00141562"/>
    <w:rsid w:val="001425F8"/>
    <w:rsid w:val="00170261"/>
    <w:rsid w:val="0017132B"/>
    <w:rsid w:val="00191154"/>
    <w:rsid w:val="001A7867"/>
    <w:rsid w:val="001B5DF8"/>
    <w:rsid w:val="001D13EE"/>
    <w:rsid w:val="001F4CA3"/>
    <w:rsid w:val="001F4FEB"/>
    <w:rsid w:val="001F5440"/>
    <w:rsid w:val="001F612A"/>
    <w:rsid w:val="001F77CB"/>
    <w:rsid w:val="0021135E"/>
    <w:rsid w:val="00211396"/>
    <w:rsid w:val="0022297F"/>
    <w:rsid w:val="0022430C"/>
    <w:rsid w:val="00226AE6"/>
    <w:rsid w:val="00233960"/>
    <w:rsid w:val="00235E90"/>
    <w:rsid w:val="00237DAC"/>
    <w:rsid w:val="00245B34"/>
    <w:rsid w:val="002469A0"/>
    <w:rsid w:val="0026102B"/>
    <w:rsid w:val="00263355"/>
    <w:rsid w:val="0027269F"/>
    <w:rsid w:val="00273792"/>
    <w:rsid w:val="00276686"/>
    <w:rsid w:val="00296E91"/>
    <w:rsid w:val="002B0EDF"/>
    <w:rsid w:val="002B210B"/>
    <w:rsid w:val="002B2FA2"/>
    <w:rsid w:val="002D4AC8"/>
    <w:rsid w:val="002E0F41"/>
    <w:rsid w:val="002E452E"/>
    <w:rsid w:val="002E709C"/>
    <w:rsid w:val="002F427F"/>
    <w:rsid w:val="00320D78"/>
    <w:rsid w:val="00341A07"/>
    <w:rsid w:val="00347578"/>
    <w:rsid w:val="003511ED"/>
    <w:rsid w:val="00371763"/>
    <w:rsid w:val="00371D2D"/>
    <w:rsid w:val="003744CA"/>
    <w:rsid w:val="003807C1"/>
    <w:rsid w:val="00380FE5"/>
    <w:rsid w:val="003924DD"/>
    <w:rsid w:val="00394FCB"/>
    <w:rsid w:val="003963F4"/>
    <w:rsid w:val="003A046F"/>
    <w:rsid w:val="003B3E0E"/>
    <w:rsid w:val="003B5254"/>
    <w:rsid w:val="003B75A6"/>
    <w:rsid w:val="0040545A"/>
    <w:rsid w:val="004061CA"/>
    <w:rsid w:val="0041321F"/>
    <w:rsid w:val="00415689"/>
    <w:rsid w:val="004241B0"/>
    <w:rsid w:val="00426F14"/>
    <w:rsid w:val="00442075"/>
    <w:rsid w:val="004440CB"/>
    <w:rsid w:val="00447481"/>
    <w:rsid w:val="004713D2"/>
    <w:rsid w:val="00487C39"/>
    <w:rsid w:val="00497647"/>
    <w:rsid w:val="00521639"/>
    <w:rsid w:val="00532BB7"/>
    <w:rsid w:val="005332E4"/>
    <w:rsid w:val="0053550C"/>
    <w:rsid w:val="00536EA7"/>
    <w:rsid w:val="0054353E"/>
    <w:rsid w:val="00555018"/>
    <w:rsid w:val="005615B9"/>
    <w:rsid w:val="00563611"/>
    <w:rsid w:val="00570D79"/>
    <w:rsid w:val="005723DC"/>
    <w:rsid w:val="00587E28"/>
    <w:rsid w:val="00593E32"/>
    <w:rsid w:val="005A4B3C"/>
    <w:rsid w:val="005C570D"/>
    <w:rsid w:val="005C726C"/>
    <w:rsid w:val="005E29AE"/>
    <w:rsid w:val="005F01AF"/>
    <w:rsid w:val="00610987"/>
    <w:rsid w:val="00620399"/>
    <w:rsid w:val="006210DC"/>
    <w:rsid w:val="0064349D"/>
    <w:rsid w:val="006443CA"/>
    <w:rsid w:val="00653EED"/>
    <w:rsid w:val="006558B0"/>
    <w:rsid w:val="00657F29"/>
    <w:rsid w:val="00661004"/>
    <w:rsid w:val="00671011"/>
    <w:rsid w:val="00685549"/>
    <w:rsid w:val="006A5476"/>
    <w:rsid w:val="006B7365"/>
    <w:rsid w:val="006C2D81"/>
    <w:rsid w:val="006C7DF8"/>
    <w:rsid w:val="007076CD"/>
    <w:rsid w:val="00724867"/>
    <w:rsid w:val="007258DE"/>
    <w:rsid w:val="0073229D"/>
    <w:rsid w:val="00741997"/>
    <w:rsid w:val="00750FC8"/>
    <w:rsid w:val="007533D0"/>
    <w:rsid w:val="00755069"/>
    <w:rsid w:val="00760A22"/>
    <w:rsid w:val="00763EDB"/>
    <w:rsid w:val="007A71B0"/>
    <w:rsid w:val="007B0660"/>
    <w:rsid w:val="007B083B"/>
    <w:rsid w:val="007B44B1"/>
    <w:rsid w:val="007C3154"/>
    <w:rsid w:val="007D08CB"/>
    <w:rsid w:val="007D6C3A"/>
    <w:rsid w:val="007E3868"/>
    <w:rsid w:val="007F673F"/>
    <w:rsid w:val="008201D0"/>
    <w:rsid w:val="00820C41"/>
    <w:rsid w:val="0084322F"/>
    <w:rsid w:val="00850256"/>
    <w:rsid w:val="008575A1"/>
    <w:rsid w:val="00874CE6"/>
    <w:rsid w:val="008776E3"/>
    <w:rsid w:val="00883986"/>
    <w:rsid w:val="008928FA"/>
    <w:rsid w:val="008B6FCD"/>
    <w:rsid w:val="008C2F94"/>
    <w:rsid w:val="008F4AFB"/>
    <w:rsid w:val="0090116D"/>
    <w:rsid w:val="00905CF6"/>
    <w:rsid w:val="00916688"/>
    <w:rsid w:val="00921820"/>
    <w:rsid w:val="0093686F"/>
    <w:rsid w:val="00936910"/>
    <w:rsid w:val="00942FD4"/>
    <w:rsid w:val="00951997"/>
    <w:rsid w:val="009558A6"/>
    <w:rsid w:val="0096578F"/>
    <w:rsid w:val="00972E3F"/>
    <w:rsid w:val="00987455"/>
    <w:rsid w:val="00990352"/>
    <w:rsid w:val="0099133E"/>
    <w:rsid w:val="00994578"/>
    <w:rsid w:val="00996ECD"/>
    <w:rsid w:val="009A22EA"/>
    <w:rsid w:val="009A230F"/>
    <w:rsid w:val="009A7AD0"/>
    <w:rsid w:val="009B20DA"/>
    <w:rsid w:val="009C6244"/>
    <w:rsid w:val="009D051D"/>
    <w:rsid w:val="009E6857"/>
    <w:rsid w:val="009F3F81"/>
    <w:rsid w:val="00A03405"/>
    <w:rsid w:val="00A1528A"/>
    <w:rsid w:val="00A1750D"/>
    <w:rsid w:val="00A33918"/>
    <w:rsid w:val="00A42BC6"/>
    <w:rsid w:val="00A576BD"/>
    <w:rsid w:val="00A61CDD"/>
    <w:rsid w:val="00A65CDB"/>
    <w:rsid w:val="00A7629F"/>
    <w:rsid w:val="00A77B72"/>
    <w:rsid w:val="00A936B4"/>
    <w:rsid w:val="00AA7578"/>
    <w:rsid w:val="00AB2F14"/>
    <w:rsid w:val="00AC62C9"/>
    <w:rsid w:val="00AD7683"/>
    <w:rsid w:val="00AF0CEE"/>
    <w:rsid w:val="00AF5861"/>
    <w:rsid w:val="00B4041D"/>
    <w:rsid w:val="00B52752"/>
    <w:rsid w:val="00B63BDF"/>
    <w:rsid w:val="00B667AD"/>
    <w:rsid w:val="00B84C38"/>
    <w:rsid w:val="00B86C00"/>
    <w:rsid w:val="00B921E5"/>
    <w:rsid w:val="00B945EE"/>
    <w:rsid w:val="00B947F6"/>
    <w:rsid w:val="00BB5F9F"/>
    <w:rsid w:val="00BC70F4"/>
    <w:rsid w:val="00BF16AA"/>
    <w:rsid w:val="00C25089"/>
    <w:rsid w:val="00C354B8"/>
    <w:rsid w:val="00C52517"/>
    <w:rsid w:val="00C54F40"/>
    <w:rsid w:val="00C60921"/>
    <w:rsid w:val="00C6265A"/>
    <w:rsid w:val="00C62936"/>
    <w:rsid w:val="00C653F2"/>
    <w:rsid w:val="00C679E6"/>
    <w:rsid w:val="00C71A44"/>
    <w:rsid w:val="00C73A1F"/>
    <w:rsid w:val="00C83925"/>
    <w:rsid w:val="00C8615B"/>
    <w:rsid w:val="00C871B2"/>
    <w:rsid w:val="00C908F9"/>
    <w:rsid w:val="00CA0917"/>
    <w:rsid w:val="00CA1099"/>
    <w:rsid w:val="00CE71FD"/>
    <w:rsid w:val="00D01683"/>
    <w:rsid w:val="00D14D41"/>
    <w:rsid w:val="00D21A2D"/>
    <w:rsid w:val="00D233A6"/>
    <w:rsid w:val="00D32189"/>
    <w:rsid w:val="00D36374"/>
    <w:rsid w:val="00D417C2"/>
    <w:rsid w:val="00D45E10"/>
    <w:rsid w:val="00D4695F"/>
    <w:rsid w:val="00D54417"/>
    <w:rsid w:val="00D60936"/>
    <w:rsid w:val="00D66807"/>
    <w:rsid w:val="00D709EB"/>
    <w:rsid w:val="00D74714"/>
    <w:rsid w:val="00D77205"/>
    <w:rsid w:val="00D812DF"/>
    <w:rsid w:val="00D82F3F"/>
    <w:rsid w:val="00D8761D"/>
    <w:rsid w:val="00D921C6"/>
    <w:rsid w:val="00D92469"/>
    <w:rsid w:val="00D958C2"/>
    <w:rsid w:val="00DD3E0E"/>
    <w:rsid w:val="00E04A96"/>
    <w:rsid w:val="00E04AB5"/>
    <w:rsid w:val="00E31F51"/>
    <w:rsid w:val="00E36660"/>
    <w:rsid w:val="00E4138E"/>
    <w:rsid w:val="00E4546F"/>
    <w:rsid w:val="00E50EEA"/>
    <w:rsid w:val="00E52F58"/>
    <w:rsid w:val="00E56762"/>
    <w:rsid w:val="00E63903"/>
    <w:rsid w:val="00E70585"/>
    <w:rsid w:val="00E70D1C"/>
    <w:rsid w:val="00E7264C"/>
    <w:rsid w:val="00E84B68"/>
    <w:rsid w:val="00E93183"/>
    <w:rsid w:val="00E95628"/>
    <w:rsid w:val="00E96FEA"/>
    <w:rsid w:val="00EA0221"/>
    <w:rsid w:val="00EB7711"/>
    <w:rsid w:val="00EC26AA"/>
    <w:rsid w:val="00ED7551"/>
    <w:rsid w:val="00ED7A53"/>
    <w:rsid w:val="00EE4273"/>
    <w:rsid w:val="00EE6A8E"/>
    <w:rsid w:val="00F02004"/>
    <w:rsid w:val="00F042CB"/>
    <w:rsid w:val="00F130E7"/>
    <w:rsid w:val="00F3650A"/>
    <w:rsid w:val="00F60A20"/>
    <w:rsid w:val="00F913DC"/>
    <w:rsid w:val="00FA4027"/>
    <w:rsid w:val="00FA40D4"/>
    <w:rsid w:val="00FC0A95"/>
    <w:rsid w:val="00FC289D"/>
    <w:rsid w:val="00FC3D9C"/>
    <w:rsid w:val="00FC40A5"/>
    <w:rsid w:val="00FC71DB"/>
    <w:rsid w:val="00FE51C4"/>
    <w:rsid w:val="00FE61EF"/>
    <w:rsid w:val="00FF0153"/>
    <w:rsid w:val="00FF08EF"/>
    <w:rsid w:val="00FF4DD7"/>
    <w:rsid w:val="00FF5128"/>
    <w:rsid w:val="00FF61F5"/>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6C339"/>
  <w15:chartTrackingRefBased/>
  <w15:docId w15:val="{CDDA0076-213F-40C7-AAA5-AC0D11B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 w:type="paragraph" w:styleId="ListParagraph">
    <w:name w:val="List Paragraph"/>
    <w:basedOn w:val="Normal"/>
    <w:uiPriority w:val="34"/>
    <w:qFormat/>
    <w:rsid w:val="0007320A"/>
    <w:pPr>
      <w:ind w:left="720"/>
      <w:contextualSpacing/>
    </w:pPr>
  </w:style>
  <w:style w:type="paragraph" w:styleId="BodyText">
    <w:name w:val="Body Text"/>
    <w:basedOn w:val="Normal"/>
    <w:link w:val="BodyTextChar"/>
    <w:uiPriority w:val="99"/>
    <w:rsid w:val="00E95628"/>
    <w:pPr>
      <w:spacing w:before="120" w:after="120" w:line="360" w:lineRule="auto"/>
      <w:jc w:val="both"/>
    </w:pPr>
    <w:rPr>
      <w:rFonts w:ascii="CG Times(w1)" w:hAnsi="CG Times(w1)"/>
      <w:lang w:val="es-ES_tradnl"/>
    </w:rPr>
  </w:style>
  <w:style w:type="character" w:customStyle="1" w:styleId="BodyTextChar">
    <w:name w:val="Body Text Char"/>
    <w:basedOn w:val="DefaultParagraphFont"/>
    <w:link w:val="BodyText"/>
    <w:uiPriority w:val="99"/>
    <w:rsid w:val="00E95628"/>
    <w:rPr>
      <w:rFonts w:ascii="CG Times(w1)" w:hAnsi="CG Times(w1)"/>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Christopher G. Curbelo Hernández</dc:creator>
  <cp:keywords/>
  <cp:lastModifiedBy>Gloria de Jesús Maldonado</cp:lastModifiedBy>
  <cp:revision>2</cp:revision>
  <cp:lastPrinted>2000-03-03T16:35:00Z</cp:lastPrinted>
  <dcterms:created xsi:type="dcterms:W3CDTF">2025-09-11T19:29:00Z</dcterms:created>
  <dcterms:modified xsi:type="dcterms:W3CDTF">2025-09-11T19:29:00Z</dcterms:modified>
</cp:coreProperties>
</file>